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24"/>
          <w:szCs w:val="24"/>
        </w:rPr>
      </w:pPr>
      <w:r>
        <w:rPr>
          <w:rFonts w:ascii="Times New ROman" w:hAnsi="Times New ROman"/>
          <w:sz w:val="24"/>
          <w:szCs w:val="24"/>
        </w:rPr>
        <mc:AlternateContent>
          <mc:Choice Requires="wps">
            <w:drawing>
              <wp:anchor distT="0" distB="0" distL="0" distR="0" simplePos="0" relativeHeight="2" behindDoc="1" locked="0" layoutInCell="1" allowOverlap="1">
                <wp:simplePos x="0" y="0"/>
                <wp:positionH relativeFrom="column">
                  <wp:posOffset>-1152525</wp:posOffset>
                </wp:positionH>
                <wp:positionV relativeFrom="paragraph">
                  <wp:posOffset>-914400</wp:posOffset>
                </wp:positionV>
                <wp:extent cx="7781925" cy="9979025"/>
                <wp:effectExtent l="1270" t="1270" r="0" b="0"/>
                <wp:wrapNone/>
                <wp:docPr id="1" name="Frame1"/>
                <a:graphic xmlns:a="http://schemas.openxmlformats.org/drawingml/2006/main">
                  <a:graphicData uri="http://schemas.microsoft.com/office/word/2010/wordprocessingShape">
                    <wps:wsp>
                      <wps:cNvSpPr/>
                      <wps:spPr>
                        <a:xfrm>
                          <a:off x="0" y="0"/>
                          <a:ext cx="7781760" cy="9979200"/>
                        </a:xfrm>
                        <a:prstGeom prst="rect">
                          <a:avLst/>
                        </a:prstGeom>
                        <a:solidFill>
                          <a:srgbClr val="D9D9D9"/>
                        </a:solidFill>
                        <a:ln w="0">
                          <a:solidFill>
                            <a:srgbClr val="000000"/>
                          </a:solidFill>
                        </a:ln>
                      </wps:spPr>
                      <wps:style>
                        <a:lnRef idx="0"/>
                        <a:fillRef idx="0"/>
                        <a:effectRef idx="0"/>
                        <a:fontRef idx="minor"/>
                      </wps:style>
                      <wps:bodyPr/>
                    </wps:wsp>
                  </a:graphicData>
                </a:graphic>
              </wp:anchor>
            </w:drawing>
          </mc:Choice>
          <mc:Fallback>
            <w:pict>
              <v:rect id="shape_0" fillcolor="#d9d9d9" stroked="t" o:allowincell="f" style="position:absolute;margin-left:-90.75pt;margin-top:-72pt;width:612.7pt;height:785.7pt;mso-wrap-style:none;v-text-anchor:middle">
                <v:fill o:detectmouseclick="t" type="solid" color2="#262626"/>
                <v:stroke color="black" joinstyle="round" endcap="flat"/>
                <w10:wrap type="none"/>
              </v:rect>
            </w:pict>
          </mc:Fallback>
        </mc:AlternateConten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Title"/>
        <w:jc w:val="center"/>
        <w:rPr>
          <w:rFonts w:ascii="Times New ROman" w:hAnsi="Times New ROman"/>
          <w:sz w:val="24"/>
          <w:szCs w:val="24"/>
        </w:rPr>
      </w:pPr>
      <w:r>
        <w:rPr>
          <w:rFonts w:ascii="Times New ROman" w:hAnsi="Times New ROman"/>
          <w:sz w:val="24"/>
          <w:szCs w:val="24"/>
        </w:rPr>
        <w:t>INJECTION VULNERABILITIES</w:t>
      </w:r>
    </w:p>
    <w:p>
      <w:pPr>
        <w:pStyle w:val="Normal"/>
        <w:jc w:val="center"/>
        <w:rPr>
          <w:rFonts w:ascii="Times New ROman" w:hAnsi="Times New ROman"/>
          <w:sz w:val="24"/>
          <w:szCs w:val="24"/>
        </w:rPr>
      </w:pPr>
      <w:r>
        <w:rPr>
          <w:rFonts w:ascii="Times New ROman" w:hAnsi="Times New ROman"/>
          <w:sz w:val="24"/>
          <w:szCs w:val="24"/>
        </w:rPr>
        <w:t>An Analytical &amp; Real World Perspective</w:t>
      </w:r>
    </w:p>
    <w:p>
      <w:pPr>
        <w:pStyle w:val="Normal"/>
        <w:rPr>
          <w:rFonts w:ascii="Times New ROman" w:hAnsi="Times New ROman"/>
          <w:sz w:val="24"/>
          <w:szCs w:val="24"/>
        </w:rPr>
      </w:pPr>
      <w:r>
        <w:rPr>
          <w:rFonts w:ascii="Times New ROman" w:hAnsi="Times New ROman"/>
          <w:sz w:val="24"/>
          <w:szCs w:val="24"/>
        </w:rPr>
        <w:br/>
      </w:r>
    </w:p>
    <w:p>
      <w:pPr>
        <w:pStyle w:val="Normal"/>
        <w:jc w:val="center"/>
        <w:rPr>
          <w:rFonts w:ascii="Times New ROman" w:hAnsi="Times New ROman"/>
          <w:sz w:val="24"/>
          <w:szCs w:val="24"/>
        </w:rPr>
      </w:pPr>
      <w:r>
        <w:rPr>
          <w:rFonts w:ascii="Times New ROman" w:hAnsi="Times New ROman"/>
          <w:b/>
          <w:sz w:val="24"/>
          <w:szCs w:val="24"/>
        </w:rPr>
        <w:t xml:space="preserve">UNIT CODE: </w:t>
      </w:r>
      <w:r>
        <w:rPr>
          <w:rFonts w:ascii="Times New ROman" w:hAnsi="Times New ROman"/>
          <w:sz w:val="24"/>
          <w:szCs w:val="24"/>
        </w:rPr>
        <w:t>BIT 425E</w:t>
      </w:r>
    </w:p>
    <w:p>
      <w:pPr>
        <w:pStyle w:val="Normal"/>
        <w:jc w:val="center"/>
        <w:rPr>
          <w:rFonts w:ascii="Times New ROman" w:hAnsi="Times New ROman"/>
          <w:sz w:val="24"/>
          <w:szCs w:val="24"/>
        </w:rPr>
      </w:pPr>
      <w:r>
        <w:rPr>
          <w:rFonts w:ascii="Times New ROman" w:hAnsi="Times New ROman"/>
          <w:b/>
          <w:sz w:val="24"/>
          <w:szCs w:val="24"/>
        </w:rPr>
        <w:t xml:space="preserve">UNIT NAME: </w:t>
      </w:r>
      <w:r>
        <w:rPr>
          <w:rFonts w:ascii="Times New ROman" w:hAnsi="Times New ROman"/>
          <w:sz w:val="24"/>
          <w:szCs w:val="24"/>
        </w:rPr>
        <w:t>WEB APPLICATION SECURITY</w:t>
      </w:r>
    </w:p>
    <w:p>
      <w:pPr>
        <w:pStyle w:val="Normal"/>
        <w:rPr>
          <w:rFonts w:ascii="Times New ROman" w:hAnsi="Times New ROman"/>
          <w:sz w:val="24"/>
          <w:szCs w:val="24"/>
        </w:rPr>
      </w:pPr>
      <w:r>
        <w:rPr>
          <w:rFonts w:ascii="Times New ROman" w:hAnsi="Times New ROman"/>
          <w:sz w:val="24"/>
          <w:szCs w:val="24"/>
        </w:rPr>
        <w:br/>
      </w:r>
    </w:p>
    <w:p>
      <w:pPr>
        <w:pStyle w:val="Normal"/>
        <w:jc w:val="center"/>
        <w:rPr>
          <w:rFonts w:ascii="Times New ROman" w:hAnsi="Times New ROman"/>
          <w:sz w:val="24"/>
          <w:szCs w:val="24"/>
        </w:rPr>
      </w:pPr>
      <w:r>
        <w:rPr>
          <w:rFonts w:ascii="Times New ROman" w:hAnsi="Times New ROman"/>
          <w:b/>
          <w:sz w:val="24"/>
          <w:szCs w:val="24"/>
        </w:rPr>
        <w:t>GROUP MEMBERS</w:t>
      </w:r>
    </w:p>
    <w:p>
      <w:pPr>
        <w:pStyle w:val="Normal"/>
        <w:jc w:val="center"/>
        <w:rPr>
          <w:rFonts w:ascii="Times New ROman" w:hAnsi="Times New ROman"/>
          <w:sz w:val="24"/>
          <w:szCs w:val="24"/>
        </w:rPr>
      </w:pPr>
      <w:r>
        <w:rPr>
          <w:rFonts w:ascii="Times New ROman" w:hAnsi="Times New ROman"/>
          <w:sz w:val="24"/>
          <w:szCs w:val="24"/>
        </w:rPr>
        <w:t>Brian Ndinya       SIT/B/01-02627/2022</w:t>
      </w:r>
    </w:p>
    <w:p>
      <w:pPr>
        <w:pStyle w:val="Normal"/>
        <w:jc w:val="center"/>
        <w:rPr>
          <w:rFonts w:ascii="Times New ROman" w:hAnsi="Times New ROman"/>
          <w:sz w:val="24"/>
          <w:szCs w:val="24"/>
        </w:rPr>
      </w:pPr>
      <w:r>
        <w:rPr>
          <w:rFonts w:ascii="Times New ROman" w:hAnsi="Times New ROman"/>
          <w:sz w:val="24"/>
          <w:szCs w:val="24"/>
        </w:rPr>
        <w:t>Bugendi Devis      SIT/B/01-02891/2022</w:t>
      </w:r>
    </w:p>
    <w:p>
      <w:pPr>
        <w:pStyle w:val="Normal"/>
        <w:jc w:val="center"/>
        <w:rPr>
          <w:rFonts w:ascii="Times New ROman" w:hAnsi="Times New ROman"/>
          <w:sz w:val="24"/>
          <w:szCs w:val="24"/>
        </w:rPr>
      </w:pPr>
      <w:r>
        <w:rPr>
          <w:rFonts w:ascii="Times New ROman" w:hAnsi="Times New ROman"/>
          <w:sz w:val="24"/>
          <w:szCs w:val="24"/>
        </w:rPr>
        <w:t>Elshalom Baraka    SIT/B/01-02926/2022</w:t>
      </w:r>
    </w:p>
    <w:p>
      <w:pPr>
        <w:pStyle w:val="Normal"/>
        <w:jc w:val="center"/>
        <w:rPr>
          <w:rFonts w:ascii="Times New ROman" w:hAnsi="Times New ROman"/>
          <w:sz w:val="24"/>
          <w:szCs w:val="24"/>
        </w:rPr>
      </w:pPr>
      <w:r>
        <w:rPr>
          <w:rFonts w:ascii="Times New ROman" w:hAnsi="Times New ROman"/>
          <w:sz w:val="24"/>
          <w:szCs w:val="24"/>
        </w:rPr>
        <w:t>Benard Rorat       SIT/B/01-02893/2022</w:t>
      </w:r>
    </w:p>
    <w:p>
      <w:pPr>
        <w:pStyle w:val="Normal"/>
        <w:jc w:val="center"/>
        <w:rPr>
          <w:rFonts w:ascii="Times New ROman" w:hAnsi="Times New ROman"/>
          <w:sz w:val="24"/>
          <w:szCs w:val="24"/>
        </w:rPr>
      </w:pPr>
      <w:r>
        <w:rPr>
          <w:rFonts w:ascii="Times New ROman" w:hAnsi="Times New ROman"/>
          <w:sz w:val="24"/>
          <w:szCs w:val="24"/>
        </w:rPr>
        <w:t>Emmanuel Muchina   SIT/B/01-02896/2022</w:t>
      </w:r>
    </w:p>
    <w:p>
      <w:pPr>
        <w:pStyle w:val="Normal"/>
        <w:rPr>
          <w:rFonts w:ascii="Times New ROman" w:hAnsi="Times New ROman"/>
          <w:sz w:val="24"/>
          <w:szCs w:val="24"/>
        </w:rPr>
      </w:pPr>
      <w:r>
        <w:rPr>
          <w:rFonts w:ascii="Times New ROman" w:hAnsi="Times New ROman"/>
          <w:sz w:val="24"/>
          <w:szCs w:val="24"/>
        </w:rPr>
      </w:r>
      <w:r>
        <w:br w:type="page"/>
      </w:r>
    </w:p>
    <w:p>
      <w:pPr>
        <w:pStyle w:val="Heading1"/>
        <w:spacing w:before="0" w:after="0"/>
        <w:rPr>
          <w:rFonts w:ascii="Times New ROman" w:hAnsi="Times New ROman"/>
          <w:sz w:val="24"/>
          <w:szCs w:val="24"/>
        </w:rPr>
      </w:pPr>
      <w:r>
        <w:rPr>
          <w:rFonts w:ascii="Times New ROman" w:hAnsi="Times New ROman"/>
          <w:sz w:val="24"/>
          <w:szCs w:val="24"/>
        </w:rPr>
        <w:t>1. Conceptual Explanation</w:t>
      </w:r>
    </w:p>
    <w:p>
      <w:pPr>
        <w:pStyle w:val="Normal"/>
        <w:rPr>
          <w:rFonts w:ascii="Times New ROman" w:hAnsi="Times New ROman"/>
          <w:sz w:val="24"/>
          <w:szCs w:val="24"/>
        </w:rPr>
      </w:pPr>
      <w:r>
        <w:rPr>
          <w:rFonts w:ascii="Times New ROman" w:hAnsi="Times New ROman"/>
          <w:sz w:val="24"/>
          <w:szCs w:val="24"/>
        </w:rPr>
        <w:t>At its core, an injection flaw is a critical problem of mistaken identity between data and instructions. When you enter information into a web application, such as submitting your username or searching for a product, the system is supposed to treat that input purely as data. However, if the application is not designed securely, it might accidentally read your raw input as a direct system command.</w:t>
      </w:r>
    </w:p>
    <w:p>
      <w:pPr>
        <w:pStyle w:val="Normal"/>
        <w:rPr>
          <w:rFonts w:ascii="Times New ROman" w:hAnsi="Times New ROman"/>
          <w:sz w:val="24"/>
          <w:szCs w:val="24"/>
        </w:rPr>
      </w:pPr>
      <w:r>
        <w:rPr>
          <w:rFonts w:ascii="Times New ROman" w:hAnsi="Times New ROman"/>
          <w:sz w:val="24"/>
          <w:szCs w:val="24"/>
        </w:rPr>
        <w:t>For example, an attacker can submit a cleverly crafted piece of malicious code instead of a normal search word. Because the system incorrectly fails to separate the incoming user data from its own internal logic, it blindly executes the attacker code as if it were a legitimate instruction. This flaw is incredibly dangerous because it essentially allows an external attacker to reprogram the application on the fly, enabling them to bypass login screens, access highly sensitive databases, or manipulate the underlying core operating systems without permission.</w:t>
      </w:r>
    </w:p>
    <w:p>
      <w:pPr>
        <w:pStyle w:val="Heading1"/>
        <w:rPr>
          <w:rFonts w:ascii="Times New ROman" w:hAnsi="Times New ROman"/>
          <w:sz w:val="24"/>
          <w:szCs w:val="24"/>
        </w:rPr>
      </w:pPr>
      <w:r>
        <w:rPr>
          <w:rFonts w:ascii="Times New ROman" w:hAnsi="Times New ROman"/>
          <w:sz w:val="24"/>
          <w:szCs w:val="24"/>
        </w:rPr>
        <w:t>2. Causes</w:t>
      </w:r>
    </w:p>
    <w:p>
      <w:pPr>
        <w:pStyle w:val="Normal"/>
        <w:rPr>
          <w:rFonts w:ascii="Times New ROman" w:hAnsi="Times New ROman"/>
          <w:sz w:val="24"/>
          <w:szCs w:val="24"/>
        </w:rPr>
      </w:pPr>
      <w:r>
        <w:rPr>
          <w:rFonts w:ascii="Times New ROman" w:hAnsi="Times New ROman"/>
          <w:sz w:val="24"/>
          <w:szCs w:val="24"/>
        </w:rPr>
        <w:t>The primary causes of injection vulnerabilities involve practices where user input is implicitly trusted or not correctly sanitized. Principal technical causes include:</w:t>
      </w:r>
    </w:p>
    <w:p>
      <w:pPr>
        <w:pStyle w:val="Normal"/>
        <w:rPr>
          <w:rFonts w:ascii="Times New ROman" w:hAnsi="Times New ROman"/>
          <w:sz w:val="24"/>
          <w:szCs w:val="24"/>
        </w:rPr>
      </w:pPr>
      <w:r>
        <w:rPr>
          <w:rFonts w:ascii="Times New ROman" w:hAnsi="Times New ROman"/>
          <w:b/>
          <w:sz w:val="24"/>
          <w:szCs w:val="24"/>
        </w:rPr>
        <w:t xml:space="preserve">String Concatenation over Parameterization: </w:t>
      </w:r>
      <w:r>
        <w:rPr>
          <w:rFonts w:ascii="Times New ROman" w:hAnsi="Times New ROman"/>
          <w:sz w:val="24"/>
          <w:szCs w:val="24"/>
        </w:rPr>
        <w:t>This happens when developers build database queries by directly combining lines of code with raw user input. Instead of securely isolating the input, the application merges everything together, creating a direct pathway for malicious commands.</w:t>
      </w:r>
    </w:p>
    <w:p>
      <w:pPr>
        <w:pStyle w:val="Normal"/>
        <w:rPr>
          <w:rFonts w:ascii="Times New ROman" w:hAnsi="Times New ROman"/>
          <w:sz w:val="24"/>
          <w:szCs w:val="24"/>
        </w:rPr>
      </w:pPr>
      <w:r>
        <w:rPr>
          <w:rFonts w:ascii="Times New ROman" w:hAnsi="Times New ROman"/>
          <w:b/>
          <w:sz w:val="24"/>
          <w:szCs w:val="24"/>
        </w:rPr>
        <w:t xml:space="preserve">Insufficient Input Validation: </w:t>
      </w:r>
      <w:r>
        <w:rPr>
          <w:rFonts w:ascii="Times New ROman" w:hAnsi="Times New ROman"/>
          <w:sz w:val="24"/>
          <w:szCs w:val="24"/>
        </w:rPr>
        <w:t>This occurs when an application accepts user provided data without strictly verifying its type, length, or format against an expected list of safe values.</w:t>
      </w:r>
    </w:p>
    <w:p>
      <w:pPr>
        <w:pStyle w:val="Normal"/>
        <w:rPr>
          <w:rFonts w:ascii="Times New ROman" w:hAnsi="Times New ROman"/>
          <w:sz w:val="24"/>
          <w:szCs w:val="24"/>
        </w:rPr>
      </w:pPr>
      <w:r>
        <w:rPr>
          <w:rFonts w:ascii="Times New ROman" w:hAnsi="Times New ROman"/>
          <w:b/>
          <w:sz w:val="24"/>
          <w:szCs w:val="24"/>
        </w:rPr>
        <w:t xml:space="preserve">Flawed Implementation in ORMs: </w:t>
      </w:r>
      <w:r>
        <w:rPr>
          <w:rFonts w:ascii="Times New ROman" w:hAnsi="Times New ROman"/>
          <w:sz w:val="24"/>
          <w:szCs w:val="24"/>
        </w:rPr>
        <w:t>Even when developers employ modern Object Relational Mappers to handle databases securely, they sometimes bypass these safe tools to write direct, high risk database queries purely out of convenience.</w:t>
      </w:r>
    </w:p>
    <w:p>
      <w:pPr>
        <w:pStyle w:val="Normal"/>
        <w:rPr>
          <w:rFonts w:ascii="Times New ROman" w:hAnsi="Times New ROman"/>
          <w:sz w:val="24"/>
          <w:szCs w:val="24"/>
        </w:rPr>
      </w:pPr>
      <w:r>
        <w:rPr>
          <w:rFonts w:ascii="Times New ROman" w:hAnsi="Times New ROman"/>
          <w:b/>
          <w:sz w:val="24"/>
          <w:szCs w:val="24"/>
        </w:rPr>
        <w:t xml:space="preserve">Incorrect Privilege Configuration: </w:t>
      </w:r>
      <w:r>
        <w:rPr>
          <w:rFonts w:ascii="Times New ROman" w:hAnsi="Times New ROman"/>
          <w:sz w:val="24"/>
          <w:szCs w:val="24"/>
        </w:rPr>
        <w:t>This involves operating applications with far more permissions than they actually need, such as logging into a database with full administrative rights. While excessive privileges do not create the vulnerability itself, they drastically multiply the ultimate damage an attacker can do once inside.</w:t>
      </w:r>
    </w:p>
    <w:p>
      <w:pPr>
        <w:pStyle w:val="Heading1"/>
        <w:rPr>
          <w:rFonts w:ascii="Times New ROman" w:hAnsi="Times New ROman"/>
          <w:sz w:val="24"/>
          <w:szCs w:val="24"/>
        </w:rPr>
      </w:pPr>
      <w:r>
        <w:rPr>
          <w:rFonts w:ascii="Times New ROman" w:hAnsi="Times New ROman"/>
          <w:sz w:val="24"/>
          <w:szCs w:val="24"/>
        </w:rPr>
        <w:t>3. Attack Scenarios</w:t>
      </w:r>
    </w:p>
    <w:p>
      <w:pPr>
        <w:pStyle w:val="Normal"/>
        <w:rPr>
          <w:rFonts w:ascii="Times New ROman" w:hAnsi="Times New ROman"/>
          <w:sz w:val="24"/>
          <w:szCs w:val="24"/>
        </w:rPr>
      </w:pPr>
      <w:r>
        <w:rPr>
          <w:rFonts w:ascii="Times New ROman" w:hAnsi="Times New ROman"/>
          <w:sz w:val="24"/>
          <w:szCs w:val="24"/>
        </w:rPr>
        <w:t>Attackers exploit injection vulnerabilities through various technical methods adapted to the specific application logic:</w:t>
      </w:r>
    </w:p>
    <w:p>
      <w:pPr>
        <w:pStyle w:val="Normal"/>
        <w:rPr>
          <w:rFonts w:ascii="Times New ROman" w:hAnsi="Times New ROman"/>
          <w:sz w:val="24"/>
          <w:szCs w:val="24"/>
        </w:rPr>
      </w:pPr>
      <w:r>
        <w:rPr>
          <w:rFonts w:ascii="Times New ROman" w:hAnsi="Times New ROman"/>
          <w:b/>
          <w:sz w:val="24"/>
          <w:szCs w:val="24"/>
        </w:rPr>
        <w:t xml:space="preserve">Authentication Bypass: </w:t>
      </w:r>
      <w:r>
        <w:rPr>
          <w:rFonts w:ascii="Times New ROman" w:hAnsi="Times New ROman"/>
          <w:sz w:val="24"/>
          <w:szCs w:val="24"/>
        </w:rPr>
        <w:t>During the login process, an attacker inputs a specific logic condition into a typical username field. The resulting backend verification evaluates to universally true, allowing the attacker to completely bypass the password check and immediately gain access to the system.</w:t>
      </w:r>
    </w:p>
    <w:p>
      <w:pPr>
        <w:pStyle w:val="Normal"/>
        <w:rPr>
          <w:rFonts w:ascii="Times New ROman" w:hAnsi="Times New ROman"/>
          <w:sz w:val="24"/>
          <w:szCs w:val="24"/>
        </w:rPr>
      </w:pPr>
      <w:r>
        <w:rPr>
          <w:rFonts w:ascii="Times New ROman" w:hAnsi="Times New ROman"/>
          <w:b/>
          <w:sz w:val="24"/>
          <w:szCs w:val="24"/>
        </w:rPr>
        <w:t xml:space="preserve">Data Exfiltration via Inference (Blind SQLi): </w:t>
      </w:r>
      <w:r>
        <w:rPr>
          <w:rFonts w:ascii="Times New ROman" w:hAnsi="Times New ROman"/>
          <w:sz w:val="24"/>
          <w:szCs w:val="24"/>
        </w:rPr>
        <w:t>When applications hide basic error messages, attackers resort to blind injection. They inject scripts that ask the database true or false questions and measure exactly how long the application takes to respond. This allows them to slowly and silently extract sensitive strings character by character.</w:t>
      </w:r>
    </w:p>
    <w:p>
      <w:pPr>
        <w:pStyle w:val="Normal"/>
        <w:rPr>
          <w:rFonts w:ascii="Times New ROman" w:hAnsi="Times New ROman"/>
          <w:sz w:val="24"/>
          <w:szCs w:val="24"/>
        </w:rPr>
      </w:pPr>
      <w:r>
        <w:rPr>
          <w:rFonts w:ascii="Times New ROman" w:hAnsi="Times New ROman"/>
          <w:b/>
          <w:sz w:val="24"/>
          <w:szCs w:val="24"/>
        </w:rPr>
        <w:t xml:space="preserve">OS Command Execution: </w:t>
      </w:r>
      <w:r>
        <w:rPr>
          <w:rFonts w:ascii="Times New ROman" w:hAnsi="Times New ROman"/>
          <w:sz w:val="24"/>
          <w:szCs w:val="24"/>
        </w:rPr>
        <w:t>If an application interacts with its underlying operating system, taking actions like processing an uploaded file, an attacker can append system commands to their input. The host system then executes both the legitimate and the malicious commands, potentially exposing critical internal files.</w:t>
      </w:r>
    </w:p>
    <w:p>
      <w:pPr>
        <w:pStyle w:val="Heading1"/>
        <w:rPr>
          <w:rFonts w:ascii="Times New ROman" w:hAnsi="Times New ROman"/>
          <w:sz w:val="24"/>
          <w:szCs w:val="24"/>
        </w:rPr>
      </w:pPr>
      <w:r>
        <w:rPr>
          <w:rFonts w:ascii="Times New ROman" w:hAnsi="Times New ROman"/>
          <w:sz w:val="24"/>
          <w:szCs w:val="24"/>
        </w:rPr>
        <w:t>4. Impact Analysis</w:t>
      </w:r>
    </w:p>
    <w:p>
      <w:pPr>
        <w:pStyle w:val="Normal"/>
        <w:rPr>
          <w:rFonts w:ascii="Times New ROman" w:hAnsi="Times New ROman"/>
          <w:sz w:val="24"/>
          <w:szCs w:val="24"/>
        </w:rPr>
      </w:pPr>
      <w:r>
        <w:rPr>
          <w:rFonts w:ascii="Times New ROman" w:hAnsi="Times New ROman"/>
          <w:sz w:val="24"/>
          <w:szCs w:val="24"/>
        </w:rPr>
        <w:t>The consequences of a successful injection attack typically extend across several critical business operations:</w:t>
      </w:r>
    </w:p>
    <w:p>
      <w:pPr>
        <w:pStyle w:val="Normal"/>
        <w:rPr>
          <w:rFonts w:ascii="Times New ROman" w:hAnsi="Times New ROman"/>
          <w:sz w:val="24"/>
          <w:szCs w:val="24"/>
        </w:rPr>
      </w:pPr>
      <w:r>
        <w:rPr>
          <w:rFonts w:ascii="Times New ROman" w:hAnsi="Times New ROman"/>
          <w:b/>
          <w:sz w:val="24"/>
          <w:szCs w:val="24"/>
        </w:rPr>
        <w:t xml:space="preserve">Data Breaches: </w:t>
      </w:r>
      <w:r>
        <w:rPr>
          <w:rFonts w:ascii="Times New ROman" w:hAnsi="Times New ROman"/>
          <w:sz w:val="24"/>
          <w:szCs w:val="24"/>
        </w:rPr>
        <w:t>Loss of confidentiality is immediate. Threat actors can extract entire databases containing proprietary intellectual property, employee details, or sensitive customer data such as financial or health records.</w:t>
      </w:r>
    </w:p>
    <w:p>
      <w:pPr>
        <w:pStyle w:val="Normal"/>
        <w:rPr>
          <w:rFonts w:ascii="Times New ROman" w:hAnsi="Times New ROman"/>
          <w:sz w:val="24"/>
          <w:szCs w:val="24"/>
        </w:rPr>
      </w:pPr>
      <w:r>
        <w:rPr>
          <w:rFonts w:ascii="Times New ROman" w:hAnsi="Times New ROman"/>
          <w:b/>
          <w:sz w:val="24"/>
          <w:szCs w:val="24"/>
        </w:rPr>
        <w:t xml:space="preserve">Data Integrity and Service Disruption: </w:t>
      </w:r>
      <w:r>
        <w:rPr>
          <w:rFonts w:ascii="Times New ROman" w:hAnsi="Times New ROman"/>
          <w:sz w:val="24"/>
          <w:szCs w:val="24"/>
        </w:rPr>
        <w:t>Beyond simple theft, attackers can modify financial transaction ledgers, delete essential records, or execute destructive commands that permanently corrupt organizational data.</w:t>
      </w:r>
    </w:p>
    <w:p>
      <w:pPr>
        <w:pStyle w:val="Normal"/>
        <w:rPr>
          <w:rFonts w:ascii="Times New ROman" w:hAnsi="Times New ROman"/>
          <w:sz w:val="24"/>
          <w:szCs w:val="24"/>
        </w:rPr>
      </w:pPr>
      <w:r>
        <w:rPr>
          <w:rFonts w:ascii="Times New ROman" w:hAnsi="Times New ROman"/>
          <w:b/>
          <w:sz w:val="24"/>
          <w:szCs w:val="24"/>
        </w:rPr>
        <w:t xml:space="preserve">Regulatory and Reputational Consequences: </w:t>
      </w:r>
      <w:r>
        <w:rPr>
          <w:rFonts w:ascii="Times New ROman" w:hAnsi="Times New ROman"/>
          <w:sz w:val="24"/>
          <w:szCs w:val="24"/>
        </w:rPr>
        <w:t>A confirmed breach usually triggers severe consequences, resulting in heavy regulatory fines, costly digital forensics, and a prolonged loss of consumer and partner trust.</w:t>
      </w:r>
    </w:p>
    <w:p>
      <w:pPr>
        <w:pStyle w:val="Heading1"/>
        <w:rPr>
          <w:rFonts w:ascii="Times New ROman" w:hAnsi="Times New ROman"/>
          <w:sz w:val="24"/>
          <w:szCs w:val="24"/>
        </w:rPr>
      </w:pPr>
      <w:r>
        <w:rPr>
          <w:rFonts w:ascii="Times New ROman" w:hAnsi="Times New ROman"/>
          <w:sz w:val="24"/>
          <w:szCs w:val="24"/>
        </w:rPr>
        <w:t>5. Countermeasures and Mitigations</w:t>
      </w:r>
    </w:p>
    <w:p>
      <w:pPr>
        <w:pStyle w:val="Normal"/>
        <w:rPr>
          <w:rFonts w:ascii="Times New ROman" w:hAnsi="Times New ROman"/>
          <w:sz w:val="24"/>
          <w:szCs w:val="24"/>
        </w:rPr>
      </w:pPr>
      <w:r>
        <w:rPr>
          <w:rFonts w:ascii="Times New ROman" w:hAnsi="Times New ROman"/>
          <w:sz w:val="24"/>
          <w:szCs w:val="24"/>
        </w:rPr>
        <w:t>Preventing injection requires a systematic, secure design approach rather than relying solely on perimeter defenses. Reliable countermeasures include:</w:t>
      </w:r>
    </w:p>
    <w:p>
      <w:pPr>
        <w:pStyle w:val="Normal"/>
        <w:rPr>
          <w:rFonts w:ascii="Times New ROman" w:hAnsi="Times New ROman"/>
          <w:sz w:val="24"/>
          <w:szCs w:val="24"/>
        </w:rPr>
      </w:pPr>
      <w:r>
        <w:rPr>
          <w:rFonts w:ascii="Times New ROman" w:hAnsi="Times New ROman"/>
          <w:b/>
          <w:sz w:val="24"/>
          <w:szCs w:val="24"/>
        </w:rPr>
        <w:t xml:space="preserve">Parameterized Queries (Prepared Statements): </w:t>
      </w:r>
      <w:r>
        <w:rPr>
          <w:rFonts w:ascii="Times New ROman" w:hAnsi="Times New ROman"/>
          <w:sz w:val="24"/>
          <w:szCs w:val="24"/>
        </w:rPr>
        <w:t>This represents the most effective primary defense. By strictly separating the query logic from the user supplied data, the backend safely processes the input purely as a literal value, making it impossible to execute as code.</w:t>
      </w:r>
    </w:p>
    <w:p>
      <w:pPr>
        <w:pStyle w:val="Normal"/>
        <w:rPr>
          <w:rFonts w:ascii="Times New ROman" w:hAnsi="Times New ROman"/>
          <w:sz w:val="24"/>
          <w:szCs w:val="24"/>
        </w:rPr>
      </w:pPr>
      <w:r>
        <w:rPr>
          <w:rFonts w:ascii="Times New ROman" w:hAnsi="Times New ROman"/>
          <w:b/>
          <w:sz w:val="24"/>
          <w:szCs w:val="24"/>
        </w:rPr>
        <w:t xml:space="preserve">Strict Allowlisting for Input Validation: </w:t>
      </w:r>
      <w:r>
        <w:rPr>
          <w:rFonts w:ascii="Times New ROman" w:hAnsi="Times New ROman"/>
          <w:sz w:val="24"/>
          <w:szCs w:val="24"/>
        </w:rPr>
        <w:t>Rather than trying to anticipate and block malicious inputs, applications should enforce strict definitions of acceptable data formats, immediately rejecting any request that does not perfectly conform.</w:t>
      </w:r>
    </w:p>
    <w:p>
      <w:pPr>
        <w:pStyle w:val="Normal"/>
        <w:rPr>
          <w:rFonts w:ascii="Times New ROman" w:hAnsi="Times New ROman"/>
          <w:sz w:val="24"/>
          <w:szCs w:val="24"/>
        </w:rPr>
      </w:pPr>
      <w:r>
        <w:rPr>
          <w:rFonts w:ascii="Times New ROman" w:hAnsi="Times New ROman"/>
          <w:b/>
          <w:sz w:val="24"/>
          <w:szCs w:val="24"/>
        </w:rPr>
        <w:t xml:space="preserve">The Principle of Least Privilege: </w:t>
      </w:r>
      <w:r>
        <w:rPr>
          <w:rFonts w:ascii="Times New ROman" w:hAnsi="Times New ROman"/>
          <w:sz w:val="24"/>
          <w:szCs w:val="24"/>
        </w:rPr>
        <w:t>Organizations must ensure web applications connect to databases using accounts with only the bare minimum permissions required. A read only service account successfully prevents an attacker from altering internal structures or dropping tables even if an injection flaw exists.</w:t>
      </w:r>
    </w:p>
    <w:p>
      <w:pPr>
        <w:pStyle w:val="Heading1"/>
        <w:rPr>
          <w:rFonts w:ascii="Times New ROman" w:hAnsi="Times New ROman"/>
          <w:sz w:val="24"/>
          <w:szCs w:val="24"/>
        </w:rPr>
      </w:pPr>
      <w:r>
        <w:rPr>
          <w:rFonts w:ascii="Times New ROman" w:hAnsi="Times New ROman"/>
          <w:sz w:val="24"/>
          <w:szCs w:val="24"/>
        </w:rPr>
        <w:t>6. Real World Case Studies and Fact Checks</w:t>
      </w:r>
    </w:p>
    <w:p>
      <w:pPr>
        <w:pStyle w:val="Normal"/>
        <w:rPr>
          <w:rFonts w:ascii="Times New ROman" w:hAnsi="Times New ROman"/>
          <w:sz w:val="24"/>
          <w:szCs w:val="24"/>
        </w:rPr>
      </w:pPr>
      <w:r>
        <w:rPr>
          <w:rFonts w:ascii="Times New ROman" w:hAnsi="Times New ROman"/>
          <w:sz w:val="24"/>
          <w:szCs w:val="24"/>
        </w:rPr>
        <w:t>To contextualize this vulnerability analytically, we must examine documented incidents and formally verify their narratives:</w:t>
      </w:r>
    </w:p>
    <w:p>
      <w:pPr>
        <w:pStyle w:val="Normal"/>
        <w:rPr>
          <w:rFonts w:ascii="Times New ROman" w:hAnsi="Times New ROman"/>
          <w:sz w:val="24"/>
          <w:szCs w:val="24"/>
        </w:rPr>
      </w:pPr>
      <w:r>
        <w:rPr>
          <w:rFonts w:ascii="Times New ROman" w:hAnsi="Times New ROman"/>
          <w:b/>
          <w:sz w:val="24"/>
          <w:szCs w:val="24"/>
        </w:rPr>
        <w:t>The Kenyan Ministry of Foreign Affairs (2016) Partially True</w:t>
      </w:r>
    </w:p>
    <w:p>
      <w:pPr>
        <w:pStyle w:val="Normal"/>
        <w:rPr>
          <w:rFonts w:ascii="Times New ROman" w:hAnsi="Times New ROman"/>
          <w:sz w:val="24"/>
          <w:szCs w:val="24"/>
        </w:rPr>
      </w:pPr>
      <w:r>
        <w:rPr>
          <w:rFonts w:ascii="Times New ROman" w:hAnsi="Times New ROman"/>
          <w:sz w:val="24"/>
          <w:szCs w:val="24"/>
        </w:rPr>
        <w:t>The core claim that hackers affiliated with Anonymous breached the Kenyan Ministry of Foreign Affairs in April 2016 and claimed to have stolen 1 Terabyte of data is true. A sample of 95 documents was indeed released online, including routine diplomatic communications and security discussions.</w:t>
      </w:r>
    </w:p>
    <w:p>
      <w:pPr>
        <w:pStyle w:val="Normal"/>
        <w:rPr>
          <w:rFonts w:ascii="Times New ROman" w:hAnsi="Times New ROman"/>
          <w:sz w:val="24"/>
          <w:szCs w:val="24"/>
        </w:rPr>
      </w:pPr>
      <w:r>
        <w:rPr>
          <w:rFonts w:ascii="Times New ROman" w:hAnsi="Times New ROman"/>
          <w:sz w:val="24"/>
          <w:szCs w:val="24"/>
        </w:rPr>
        <w:t>However, two key details are disputed:</w:t>
      </w:r>
    </w:p>
    <w:p>
      <w:pPr>
        <w:pStyle w:val="Normal"/>
        <w:rPr>
          <w:rFonts w:ascii="Times New ROman" w:hAnsi="Times New ROman"/>
          <w:sz w:val="24"/>
          <w:szCs w:val="24"/>
        </w:rPr>
      </w:pPr>
      <w:r>
        <w:rPr>
          <w:rFonts w:ascii="Times New ROman" w:hAnsi="Times New ROman"/>
          <w:b/>
          <w:sz w:val="24"/>
          <w:szCs w:val="24"/>
        </w:rPr>
        <w:t xml:space="preserve">The Method: </w:t>
      </w:r>
      <w:r>
        <w:rPr>
          <w:rFonts w:ascii="Times New ROman" w:hAnsi="Times New ROman"/>
          <w:sz w:val="24"/>
          <w:szCs w:val="24"/>
        </w:rPr>
        <w:t>While cybersecurity discussions often attribute this to a classic SQL Injection, the Kenyan government ICT Cabinet Secretary stated the attack was actually a phishing campaign. Officials reported that employees were tricked into clicking malicious links giving hackers access to email credentials, rather than a direct technical breach of the database server.</w:t>
      </w:r>
    </w:p>
    <w:p>
      <w:pPr>
        <w:pStyle w:val="Normal"/>
        <w:rPr>
          <w:rFonts w:ascii="Times New ROman" w:hAnsi="Times New ROman"/>
          <w:sz w:val="24"/>
          <w:szCs w:val="24"/>
        </w:rPr>
      </w:pPr>
      <w:r>
        <w:rPr>
          <w:rFonts w:ascii="Times New ROman" w:hAnsi="Times New ROman"/>
          <w:b/>
          <w:sz w:val="24"/>
          <w:szCs w:val="24"/>
        </w:rPr>
        <w:t xml:space="preserve">The Impact: </w:t>
      </w:r>
      <w:r>
        <w:rPr>
          <w:rFonts w:ascii="Times New ROman" w:hAnsi="Times New ROman"/>
          <w:sz w:val="24"/>
          <w:szCs w:val="24"/>
        </w:rPr>
        <w:t>Although the exposure of critical vulnerabilities was claimed by hackers, the government downplayed the severity, stating that no classified or Top Secret material was accessed and that the documents were mostly routine correspondence.</w:t>
      </w:r>
    </w:p>
    <w:p>
      <w:pPr>
        <w:pStyle w:val="Normal"/>
        <w:rPr>
          <w:rFonts w:ascii="Times New ROman" w:hAnsi="Times New ROman"/>
          <w:sz w:val="24"/>
          <w:szCs w:val="24"/>
        </w:rPr>
      </w:pPr>
      <w:r>
        <w:rPr>
          <w:rFonts w:ascii="Times New ROman" w:hAnsi="Times New ROman"/>
          <w:b/>
          <w:sz w:val="24"/>
          <w:szCs w:val="24"/>
        </w:rPr>
        <w:t xml:space="preserve">Verdict: </w:t>
      </w:r>
      <w:r>
        <w:rPr>
          <w:rFonts w:ascii="Times New ROman" w:hAnsi="Times New ROman"/>
          <w:sz w:val="24"/>
          <w:szCs w:val="24"/>
        </w:rPr>
        <w:t>The event happened, but the specific method (SQLi versus Phishing) is actively disputed by official sources.</w:t>
      </w:r>
    </w:p>
    <w:p>
      <w:pPr>
        <w:pStyle w:val="Normal"/>
        <w:rPr>
          <w:rFonts w:ascii="Times New ROman" w:hAnsi="Times New ROman"/>
          <w:sz w:val="24"/>
          <w:szCs w:val="24"/>
        </w:rPr>
      </w:pPr>
      <w:r>
        <w:rPr>
          <w:rFonts w:ascii="Times New ROman" w:hAnsi="Times New ROman"/>
          <w:b/>
          <w:sz w:val="24"/>
          <w:szCs w:val="24"/>
        </w:rPr>
        <w:t>The Silent Threat to Kenyan SACCOs True in Principle</w:t>
      </w:r>
    </w:p>
    <w:p>
      <w:pPr>
        <w:pStyle w:val="Normal"/>
        <w:rPr>
          <w:rFonts w:ascii="Times New ROman" w:hAnsi="Times New ROman"/>
          <w:sz w:val="24"/>
          <w:szCs w:val="24"/>
        </w:rPr>
      </w:pPr>
      <w:r>
        <w:rPr>
          <w:rFonts w:ascii="Times New ROman" w:hAnsi="Times New ROman"/>
          <w:sz w:val="24"/>
          <w:szCs w:val="24"/>
        </w:rPr>
        <w:t>This accurately reflects a well documented and serious vulnerability in the Kenya financial sector. While finding a specific, globally publicized case of a hacker manipulating SQL to inflate balances and withdraw via M PESA is rare due to non disclosure, the systemic risk is confirmed by official sources.</w:t>
      </w:r>
    </w:p>
    <w:p>
      <w:pPr>
        <w:pStyle w:val="Normal"/>
        <w:rPr>
          <w:rFonts w:ascii="Times New ROman" w:hAnsi="Times New ROman"/>
          <w:sz w:val="24"/>
          <w:szCs w:val="24"/>
        </w:rPr>
      </w:pPr>
      <w:r>
        <w:rPr>
          <w:rFonts w:ascii="Times New ROman" w:hAnsi="Times New ROman"/>
          <w:sz w:val="24"/>
          <w:szCs w:val="24"/>
        </w:rPr>
        <w:t>The Sacco Societies Regulatory Authority (SASRA) has issued multiple warnings confirming that 98 percent of cyber threats to SACCOs come through third party vendors, such as those providing mobile money API integrations. SASRA has specifically warned that digital credit channels and pay bill accounts are at extremely high risk. Furthermore, the regulator has ordered SACCOs to physically secure their systems against the specific scenario of manipulating member portals to exploit financial platforms.</w:t>
      </w:r>
    </w:p>
    <w:p>
      <w:pPr>
        <w:pStyle w:val="Normal"/>
        <w:rPr>
          <w:rFonts w:ascii="Times New ROman" w:hAnsi="Times New ROman"/>
          <w:sz w:val="24"/>
          <w:szCs w:val="24"/>
        </w:rPr>
      </w:pPr>
      <w:r>
        <w:rPr>
          <w:rFonts w:ascii="Times New ROman" w:hAnsi="Times New ROman"/>
          <w:b/>
          <w:sz w:val="24"/>
          <w:szCs w:val="24"/>
        </w:rPr>
        <w:t xml:space="preserve">Verdict: </w:t>
      </w:r>
      <w:r>
        <w:rPr>
          <w:rFonts w:ascii="Times New ROman" w:hAnsi="Times New ROman"/>
          <w:sz w:val="24"/>
          <w:szCs w:val="24"/>
        </w:rPr>
        <w:t>The scenario is a highly recognized and active threat in Kenya, heavily supported by official regulatory warnings.</w:t>
      </w:r>
    </w:p>
    <w:p>
      <w:pPr>
        <w:pStyle w:val="Normal"/>
        <w:rPr>
          <w:rFonts w:ascii="Times New ROman" w:hAnsi="Times New ROman"/>
          <w:sz w:val="24"/>
          <w:szCs w:val="24"/>
        </w:rPr>
      </w:pPr>
      <w:r>
        <w:rPr>
          <w:rFonts w:ascii="Times New ROman" w:hAnsi="Times New ROman"/>
          <w:b/>
          <w:sz w:val="24"/>
          <w:szCs w:val="24"/>
        </w:rPr>
        <w:t>Global Benchmark The MOVEit Zero Day (2023) True</w:t>
      </w:r>
    </w:p>
    <w:p>
      <w:pPr>
        <w:pStyle w:val="Normal"/>
        <w:rPr>
          <w:rFonts w:ascii="Times New ROman" w:hAnsi="Times New ROman"/>
          <w:sz w:val="24"/>
          <w:szCs w:val="24"/>
        </w:rPr>
      </w:pPr>
      <w:r>
        <w:rPr>
          <w:rFonts w:ascii="Times New ROman" w:hAnsi="Times New ROman"/>
          <w:sz w:val="24"/>
          <w:szCs w:val="24"/>
        </w:rPr>
        <w:t>This statement is completely accurate. The 2023 MOVEit Transfer breach is a textbook example of the devastation caused by an authentic SQL injection vulnerability.</w:t>
      </w:r>
    </w:p>
    <w:p>
      <w:pPr>
        <w:pStyle w:val="Normal"/>
        <w:rPr>
          <w:rFonts w:ascii="Times New ROman" w:hAnsi="Times New ROman"/>
          <w:sz w:val="24"/>
          <w:szCs w:val="24"/>
        </w:rPr>
      </w:pPr>
      <w:r>
        <w:rPr>
          <w:rFonts w:ascii="Times New ROman" w:hAnsi="Times New ROman"/>
          <w:b/>
          <w:sz w:val="24"/>
          <w:szCs w:val="24"/>
        </w:rPr>
        <w:t xml:space="preserve">The Vulnerability: </w:t>
      </w:r>
      <w:r>
        <w:rPr>
          <w:rFonts w:ascii="Times New ROman" w:hAnsi="Times New ROman"/>
          <w:sz w:val="24"/>
          <w:szCs w:val="24"/>
        </w:rPr>
        <w:t>The attack exploited a zero day SQL injection vulnerability officially cataloged as CVE 2023 34362.</w:t>
      </w:r>
    </w:p>
    <w:p>
      <w:pPr>
        <w:pStyle w:val="Normal"/>
        <w:rPr>
          <w:rFonts w:ascii="Times New ROman" w:hAnsi="Times New ROman"/>
          <w:sz w:val="24"/>
          <w:szCs w:val="24"/>
        </w:rPr>
      </w:pPr>
      <w:r>
        <w:rPr>
          <w:rFonts w:ascii="Times New ROman" w:hAnsi="Times New ROman"/>
          <w:b/>
          <w:sz w:val="24"/>
          <w:szCs w:val="24"/>
        </w:rPr>
        <w:t xml:space="preserve">The Attacker: </w:t>
      </w:r>
      <w:r>
        <w:rPr>
          <w:rFonts w:ascii="Times New ROman" w:hAnsi="Times New ROman"/>
          <w:sz w:val="24"/>
          <w:szCs w:val="24"/>
        </w:rPr>
        <w:t>The CL0P ransomware group was solely responsible for the campaign.</w:t>
      </w:r>
    </w:p>
    <w:p>
      <w:pPr>
        <w:pStyle w:val="Normal"/>
        <w:rPr>
          <w:rFonts w:ascii="Times New ROman" w:hAnsi="Times New ROman"/>
          <w:sz w:val="24"/>
          <w:szCs w:val="24"/>
        </w:rPr>
      </w:pPr>
      <w:r>
        <w:rPr>
          <w:rFonts w:ascii="Times New ROman" w:hAnsi="Times New ROman"/>
          <w:b/>
          <w:sz w:val="24"/>
          <w:szCs w:val="24"/>
        </w:rPr>
        <w:t xml:space="preserve">The Impact: </w:t>
      </w:r>
      <w:r>
        <w:rPr>
          <w:rFonts w:ascii="Times New ROman" w:hAnsi="Times New ROman"/>
          <w:sz w:val="24"/>
          <w:szCs w:val="24"/>
        </w:rPr>
        <w:t>The attack had a massive supply chain effect. Official reports confirm it affected over 2,600 companies and more than 83 million individuals, making it one of the largest data breaches of the year.</w:t>
      </w:r>
    </w:p>
    <w:p>
      <w:pPr>
        <w:pStyle w:val="Normal"/>
        <w:rPr>
          <w:rFonts w:ascii="Times New ROman" w:hAnsi="Times New ROman"/>
          <w:sz w:val="24"/>
          <w:szCs w:val="24"/>
        </w:rPr>
      </w:pPr>
      <w:r>
        <w:rPr>
          <w:rFonts w:ascii="Times New ROman" w:hAnsi="Times New ROman"/>
          <w:b/>
          <w:sz w:val="24"/>
          <w:szCs w:val="24"/>
        </w:rPr>
        <w:t xml:space="preserve">Verdict: </w:t>
      </w:r>
      <w:r>
        <w:rPr>
          <w:rFonts w:ascii="Times New ROman" w:hAnsi="Times New ROman"/>
          <w:sz w:val="24"/>
          <w:szCs w:val="24"/>
        </w:rPr>
        <w:t>This is an incredibly accurate description of a major global cybersecurity event.</w:t>
      </w:r>
    </w:p>
    <w:p>
      <w:pPr>
        <w:pStyle w:val="Normal"/>
        <w:rPr>
          <w:rFonts w:ascii="Times New ROman" w:hAnsi="Times New ROman"/>
          <w:sz w:val="24"/>
          <w:szCs w:val="24"/>
        </w:rPr>
      </w:pPr>
      <w:r>
        <w:rPr>
          <w:rFonts w:ascii="Times New ROman" w:hAnsi="Times New ROman"/>
          <w:b/>
          <w:sz w:val="24"/>
          <w:szCs w:val="24"/>
        </w:rPr>
        <w:t xml:space="preserve"> </w:t>
      </w:r>
      <w:r>
        <w:rPr>
          <w:rFonts w:ascii="Times New ROman" w:hAnsi="Times New ROman"/>
          <w:b/>
          <w:sz w:val="24"/>
          <w:szCs w:val="24"/>
        </w:rPr>
        <w:t>Key Takeaways</w:t>
      </w:r>
    </w:p>
    <w:p>
      <w:pPr>
        <w:pStyle w:val="Normal"/>
        <w:rPr>
          <w:rFonts w:ascii="Times New ROman" w:hAnsi="Times New ROman"/>
          <w:sz w:val="24"/>
          <w:szCs w:val="24"/>
        </w:rPr>
      </w:pPr>
      <w:r>
        <w:rPr>
          <w:rFonts w:ascii="Times New ROman" w:hAnsi="Times New ROman"/>
          <w:sz w:val="24"/>
          <w:szCs w:val="24"/>
        </w:rPr>
        <w:t>SQL Injection is Real: The MOVEit case proves that even expensive, enterprise software is deeply vulnerable to SQL injection if security is not an absolute priority.</w:t>
      </w:r>
    </w:p>
    <w:p>
      <w:pPr>
        <w:pStyle w:val="Normal"/>
        <w:rPr>
          <w:rFonts w:ascii="Times New ROman" w:hAnsi="Times New ROman"/>
          <w:sz w:val="24"/>
          <w:szCs w:val="24"/>
        </w:rPr>
      </w:pPr>
      <w:r>
        <w:rPr>
          <w:rFonts w:ascii="Times New ROman" w:hAnsi="Times New ROman"/>
          <w:sz w:val="24"/>
          <w:szCs w:val="24"/>
        </w:rPr>
        <w:t>Fintech Risk is Confirmed: Kenyan regulators are actively warning about the risks of integrating mobile money with external systems, validating the factual reality of the Silent Threat.</w:t>
      </w:r>
    </w:p>
    <w:p>
      <w:pPr>
        <w:pStyle w:val="Normal"/>
        <w:rPr>
          <w:rFonts w:ascii="Times New ROman" w:hAnsi="Times New ROman"/>
          <w:sz w:val="24"/>
          <w:szCs w:val="24"/>
        </w:rPr>
      </w:pPr>
      <w:r>
        <w:rPr>
          <w:rFonts w:ascii="Times New ROman" w:hAnsi="Times New ROman"/>
          <w:sz w:val="24"/>
          <w:szCs w:val="24"/>
        </w:rPr>
        <w:t>Verify the Method: The summary of the 2016 Kenya hack is an excellent example of how a cyberattack narrative can be reported as an SQL injection when the underlying cause may actually be human error (phishing). Both lead to devastating data theft, but the method dictates the security defense required.</w:t>
      </w:r>
    </w:p>
    <w:p>
      <w:pPr>
        <w:pStyle w:val="Heading1"/>
        <w:rPr>
          <w:rFonts w:ascii="Times New ROman" w:hAnsi="Times New ROman"/>
          <w:sz w:val="24"/>
          <w:szCs w:val="24"/>
        </w:rPr>
      </w:pPr>
      <w:r>
        <w:rPr>
          <w:rFonts w:ascii="Times New ROman" w:hAnsi="Times New ROman"/>
          <w:sz w:val="24"/>
          <w:szCs w:val="24"/>
        </w:rPr>
        <w:t>7. References</w:t>
      </w:r>
    </w:p>
    <w:p>
      <w:pPr>
        <w:pStyle w:val="BodyText"/>
        <w:widowControl/>
        <w:spacing w:before="240" w:after="240"/>
        <w:ind w:hanging="0" w:start="0" w:end="0"/>
        <w:rPr/>
      </w:pPr>
      <w:r>
        <w:rPr>
          <w:rFonts w:ascii="Times New ROman" w:hAnsi="Times New ROman"/>
          <w:b w:val="false"/>
          <w:i w:val="false"/>
          <w:caps w:val="false"/>
          <w:smallCaps w:val="false"/>
          <w:color w:val="000000"/>
          <w:spacing w:val="0"/>
          <w:sz w:val="24"/>
          <w:szCs w:val="24"/>
        </w:rPr>
        <w:t>Ministry of Information, Communications and Technology, Republic of Kenya. (2016). </w:t>
      </w:r>
      <w:r>
        <w:rPr>
          <w:rStyle w:val="Emphasis"/>
          <w:rFonts w:ascii="Times New ROman" w:hAnsi="Times New ROman"/>
          <w:b w:val="false"/>
          <w:i w:val="false"/>
          <w:caps w:val="false"/>
          <w:smallCaps w:val="false"/>
          <w:color w:val="000000"/>
          <w:spacing w:val="0"/>
          <w:sz w:val="24"/>
          <w:szCs w:val="24"/>
        </w:rPr>
        <w:t>Public advisories regarding the April 2016 unauthorized access incident at the Ministry of Foreign Affairs</w:t>
      </w:r>
      <w:r>
        <w:rPr>
          <w:rFonts w:ascii="Times New ROman" w:hAnsi="Times New ROman"/>
          <w:b w:val="false"/>
          <w:i w:val="false"/>
          <w:caps w:val="false"/>
          <w:smallCaps w:val="false"/>
          <w:color w:val="000000"/>
          <w:spacing w:val="0"/>
          <w:sz w:val="24"/>
          <w:szCs w:val="24"/>
        </w:rPr>
        <w:t> [Government communication]. Nairobi, Kenya.</w:t>
      </w:r>
    </w:p>
    <w:p>
      <w:pPr>
        <w:pStyle w:val="BodyText"/>
        <w:widowControl/>
        <w:spacing w:before="240" w:after="240"/>
        <w:ind w:hanging="0" w:start="0" w:end="0"/>
        <w:rPr/>
      </w:pPr>
      <w:r>
        <w:rPr>
          <w:rFonts w:ascii="Times New ROman" w:hAnsi="Times New ROman"/>
          <w:b w:val="false"/>
          <w:i w:val="false"/>
          <w:caps w:val="false"/>
          <w:smallCaps w:val="false"/>
          <w:color w:val="000000"/>
          <w:spacing w:val="0"/>
          <w:sz w:val="24"/>
          <w:szCs w:val="24"/>
        </w:rPr>
        <w:t>National Institute of Standards and Technology. (2023). CVE-2023-34362 detail. National Vulnerability Database. </w:t>
      </w:r>
      <w:hyperlink r:id="rId2" w:tgtFrame="_blank">
        <w:r>
          <w:rPr>
            <w:rStyle w:val="Hyperlink"/>
            <w:rFonts w:ascii="Times New ROman" w:hAnsi="Times New ROman"/>
            <w:b w:val="false"/>
            <w:i w:val="false"/>
            <w:caps w:val="false"/>
            <w:smallCaps w:val="false"/>
            <w:strike w:val="false"/>
            <w:dstrike w:val="false"/>
            <w:color w:val="000000"/>
            <w:spacing w:val="0"/>
            <w:sz w:val="24"/>
            <w:szCs w:val="24"/>
            <w:u w:val="none"/>
            <w:effect w:val="none"/>
            <w:bdr w:val="single" w:sz="12" w:space="1" w:color="auto"/>
          </w:rPr>
          <w:t>https://nvd.nist.gov/vuln/detail/CVE-2023-34362</w:t>
        </w:r>
      </w:hyperlink>
    </w:p>
    <w:p>
      <w:pPr>
        <w:pStyle w:val="BodyText"/>
        <w:widowControl/>
        <w:spacing w:before="240" w:after="240"/>
        <w:ind w:hanging="0" w:start="0" w:end="0"/>
        <w:rPr/>
      </w:pPr>
      <w:r>
        <w:rPr>
          <w:rFonts w:ascii="Times New ROman" w:hAnsi="Times New ROman"/>
          <w:b w:val="false"/>
          <w:i w:val="false"/>
          <w:caps w:val="false"/>
          <w:smallCaps w:val="false"/>
          <w:color w:val="000000"/>
          <w:spacing w:val="0"/>
          <w:sz w:val="24"/>
          <w:szCs w:val="24"/>
        </w:rPr>
        <w:t>Open Worldwide Application Security Project. (2021). </w:t>
      </w:r>
      <w:r>
        <w:rPr>
          <w:rStyle w:val="Emphasis"/>
          <w:rFonts w:ascii="Times New ROman" w:hAnsi="Times New ROman"/>
          <w:b w:val="false"/>
          <w:i w:val="false"/>
          <w:caps w:val="false"/>
          <w:smallCaps w:val="false"/>
          <w:color w:val="000000"/>
          <w:spacing w:val="0"/>
          <w:sz w:val="24"/>
          <w:szCs w:val="24"/>
        </w:rPr>
        <w:t>A03:2021 – Injection</w:t>
      </w:r>
      <w:r>
        <w:rPr>
          <w:rFonts w:ascii="Times New ROman" w:hAnsi="Times New ROman"/>
          <w:b w:val="false"/>
          <w:i w:val="false"/>
          <w:caps w:val="false"/>
          <w:smallCaps w:val="false"/>
          <w:color w:val="000000"/>
          <w:spacing w:val="0"/>
          <w:sz w:val="24"/>
          <w:szCs w:val="24"/>
        </w:rPr>
        <w:t>. OWASP Top 10:2021. </w:t>
      </w:r>
      <w:hyperlink r:id="rId3" w:tgtFrame="_blank">
        <w:r>
          <w:rPr>
            <w:rStyle w:val="Hyperlink"/>
            <w:rFonts w:ascii="Times New ROman" w:hAnsi="Times New ROman"/>
            <w:b w:val="false"/>
            <w:i w:val="false"/>
            <w:caps w:val="false"/>
            <w:smallCaps w:val="false"/>
            <w:strike w:val="false"/>
            <w:dstrike w:val="false"/>
            <w:color w:val="000000"/>
            <w:spacing w:val="0"/>
            <w:sz w:val="24"/>
            <w:szCs w:val="24"/>
            <w:u w:val="none"/>
            <w:effect w:val="none"/>
            <w:bdr w:val="single" w:sz="12" w:space="1" w:color="auto"/>
          </w:rPr>
          <w:t>https://owasp.org/Top10/A03_2021-Injection/</w:t>
        </w:r>
      </w:hyperlink>
    </w:p>
    <w:p>
      <w:pPr>
        <w:pStyle w:val="BodyText"/>
        <w:widowControl/>
        <w:spacing w:before="240" w:after="240"/>
        <w:ind w:hanging="0" w:start="0" w:end="0"/>
        <w:rPr/>
      </w:pPr>
      <w:r>
        <w:rPr>
          <w:rFonts w:ascii="Times New ROman" w:hAnsi="Times New ROman"/>
          <w:b w:val="false"/>
          <w:i w:val="false"/>
          <w:caps w:val="false"/>
          <w:smallCaps w:val="false"/>
          <w:color w:val="000000"/>
          <w:spacing w:val="0"/>
          <w:sz w:val="24"/>
          <w:szCs w:val="24"/>
        </w:rPr>
        <w:t>Sacco Societies Regulatory Authority. (2022). </w:t>
      </w:r>
      <w:r>
        <w:rPr>
          <w:rStyle w:val="Emphasis"/>
          <w:rFonts w:ascii="Times New ROman" w:hAnsi="Times New ROman"/>
          <w:b w:val="false"/>
          <w:i w:val="false"/>
          <w:caps w:val="false"/>
          <w:smallCaps w:val="false"/>
          <w:color w:val="000000"/>
          <w:spacing w:val="0"/>
          <w:sz w:val="24"/>
          <w:szCs w:val="24"/>
        </w:rPr>
        <w:t>Annual SACCO supervision report 2022 (including cyber security guidelines for SACCOs)</w:t>
      </w:r>
      <w:r>
        <w:rPr>
          <w:rFonts w:ascii="Times New ROman" w:hAnsi="Times New ROman"/>
          <w:b w:val="false"/>
          <w:i w:val="false"/>
          <w:caps w:val="false"/>
          <w:smallCaps w:val="false"/>
          <w:color w:val="000000"/>
          <w:spacing w:val="0"/>
          <w:sz w:val="24"/>
          <w:szCs w:val="24"/>
        </w:rPr>
        <w:t>. Nairobi, Kenya: SASRA.</w:t>
      </w:r>
    </w:p>
    <w:p>
      <w:pPr>
        <w:pStyle w:val="Normal"/>
        <w:spacing w:before="0" w:after="200"/>
        <w:rPr>
          <w:rFonts w:ascii="Times New ROman" w:hAnsi="Times New ROman"/>
          <w:sz w:val="24"/>
          <w:szCs w:val="24"/>
        </w:rPr>
      </w:pPr>
      <w:r>
        <w:rPr>
          <w:rFonts w:ascii="Times New ROman" w:hAnsi="Times New ROman"/>
          <w:sz w:val="24"/>
          <w:szCs w:val="24"/>
        </w:rPr>
      </w:r>
    </w:p>
    <w:sectPr>
      <w:footerReference w:type="default" r:id="rId4"/>
      <w:type w:val="nextPage"/>
      <w:pgSz w:w="12240" w:h="15840"/>
      <w:pgMar w:left="1800" w:right="1800" w:gutter="0" w:header="0" w:top="1440"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6</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vd.nist.gov/vuln/detail/CVE-2023-34362" TargetMode="External"/><Relationship Id="rId3" Type="http://schemas.openxmlformats.org/officeDocument/2006/relationships/hyperlink" Target="https://owasp.org/Top10/A03_2021-Injection/"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LibreOffice/26.2.1.2$Linux_X86_64 LibreOffice_project/620$Build-2</Application>
  <AppVersion>15.0000</AppVersion>
  <Pages>6</Pages>
  <Words>1376</Words>
  <Characters>8413</Characters>
  <CharactersWithSpaces>9753</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2026-04-10T22:29:09Z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