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Arial" w:cstheme="minorBidi"/>
          <w:sz w:val="24"/>
          <w:szCs w:val="24"/>
        </w:rPr>
      </w:sdtPr>
      <w:sdtEndPr>
        <w:rPr>
          <w:rFonts w:cs="Arial"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102186"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102186"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102186"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102186"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0824ABB"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0824AB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B57A3A" w14:paraId="2819F8C6" w14:textId="6B5ABB31">
            <w:pPr>
              <w:contextualSpacing/>
              <w:jc w:val="center"/>
              <w:rPr>
                <w:rFonts w:eastAsia="Times New Roman" w:cstheme="minorHAnsi"/>
                <w:b/>
                <w:bCs/>
                <w:sz w:val="22"/>
                <w:szCs w:val="22"/>
              </w:rPr>
            </w:pPr>
            <w:r>
              <w:rPr>
                <w:rFonts w:eastAsia="Times New Roman" w:cstheme="minorHAnsi"/>
                <w:b/>
                <w:bCs/>
                <w:sz w:val="22"/>
                <w:szCs w:val="22"/>
              </w:rPr>
              <w:t>6/23/2024</w:t>
            </w:r>
          </w:p>
        </w:tc>
        <w:tc>
          <w:tcPr>
            <w:tcW w:w="2338" w:type="dxa"/>
            <w:tcMar>
              <w:left w:w="115" w:type="dxa"/>
              <w:right w:w="115" w:type="dxa"/>
            </w:tcMar>
          </w:tcPr>
          <w:p w:rsidRPr="00B7788F" w:rsidR="00531FBF" w:rsidP="00B7788F" w:rsidRDefault="00B57A3A" w14:paraId="07699096" w14:textId="3931D0A3">
            <w:pPr>
              <w:contextualSpacing/>
              <w:jc w:val="center"/>
              <w:rPr>
                <w:rFonts w:eastAsia="Times New Roman" w:cstheme="minorHAnsi"/>
                <w:b/>
                <w:bCs/>
                <w:sz w:val="22"/>
                <w:szCs w:val="22"/>
              </w:rPr>
            </w:pPr>
            <w:r>
              <w:rPr>
                <w:rFonts w:eastAsia="Times New Roman" w:cstheme="minorHAnsi"/>
                <w:b/>
                <w:bCs/>
                <w:sz w:val="22"/>
                <w:szCs w:val="22"/>
              </w:rPr>
              <w:t>Quinlin MacKenzie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t>Developer</w:t>
      </w:r>
      <w:bookmarkEnd w:id="12"/>
      <w:bookmarkEnd w:id="13"/>
      <w:bookmarkEnd w:id="14"/>
    </w:p>
    <w:p w:rsidRPr="00B7788F" w:rsidR="00485402" w:rsidP="00D47759" w:rsidRDefault="001812D7" w14:paraId="1A894830" w14:textId="264177DB">
      <w:pPr>
        <w:contextualSpacing/>
        <w:rPr>
          <w:rFonts w:cstheme="minorHAnsi"/>
          <w:sz w:val="22"/>
          <w:szCs w:val="22"/>
        </w:rPr>
      </w:pPr>
      <w:r>
        <w:rPr>
          <w:rFonts w:cstheme="minorHAnsi"/>
          <w:sz w:val="22"/>
          <w:szCs w:val="22"/>
        </w:rPr>
        <w:t>Quinlin MacKenzie</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4938763A" w:rsidP="5DFAC0A3" w:rsidRDefault="4938763A" w14:paraId="4ED308EF" w14:textId="63E97C39">
      <w:pPr>
        <w:contextualSpacing/>
        <w:rPr>
          <w:rFonts w:eastAsia="Times New Roman"/>
          <w:sz w:val="22"/>
          <w:szCs w:val="22"/>
        </w:rPr>
      </w:pPr>
      <w:r w:rsidRPr="5DFAC0A3">
        <w:rPr>
          <w:rFonts w:eastAsia="Times New Roman"/>
          <w:sz w:val="22"/>
          <w:szCs w:val="22"/>
        </w:rPr>
        <w:t>For Artemis Financial, selecting an encryption algorithm cipher involves careful consideration of security, regulatory compliance, and operational efficiency, especially for securing long-term archive files and financial data. Among the Java Security Standard Algorithm Names recommended by Oracle, the Advanced Encryption Standard (AES) emerges as the most suitable choice due to its robust security features, efficiency, and widespread adoption across government and industry sectors.</w:t>
      </w:r>
    </w:p>
    <w:p w:rsidR="4938763A" w:rsidP="5DFAC0A3" w:rsidRDefault="4938763A" w14:paraId="2B8396C9" w14:textId="786E388C">
      <w:pPr>
        <w:contextualSpacing/>
      </w:pPr>
      <w:r w:rsidRPr="5DFAC0A3">
        <w:rPr>
          <w:rFonts w:eastAsia="Times New Roman"/>
          <w:b/>
          <w:bCs/>
          <w:sz w:val="22"/>
          <w:szCs w:val="22"/>
        </w:rPr>
        <w:t>Overview of AES:</w:t>
      </w:r>
      <w:r w:rsidRPr="5DFAC0A3">
        <w:rPr>
          <w:rFonts w:eastAsia="Times New Roman"/>
          <w:sz w:val="22"/>
          <w:szCs w:val="22"/>
        </w:rPr>
        <w:t xml:space="preserve"> AES is a symmetric encryption algorithm designed to securely encrypt and decrypt data. It supports key sizes of 128, 192, and 256 bits, which are recommended to resist brute force attacks effectively. AES is known for its computational efficiency in both software and hardware implementations, ensuring minimal impact on system performance when encrypting large volumes of data.</w:t>
      </w:r>
    </w:p>
    <w:p w:rsidR="4938763A" w:rsidP="5DFAC0A3" w:rsidRDefault="4938763A" w14:paraId="5CA38112" w14:textId="38B490E8">
      <w:pPr>
        <w:contextualSpacing/>
      </w:pPr>
      <w:r w:rsidRPr="5DFAC0A3">
        <w:rPr>
          <w:rFonts w:eastAsia="Times New Roman"/>
          <w:b/>
          <w:bCs/>
          <w:sz w:val="22"/>
          <w:szCs w:val="22"/>
        </w:rPr>
        <w:t>Hash Functions and Bit Levels:</w:t>
      </w:r>
      <w:r w:rsidRPr="5DFAC0A3">
        <w:rPr>
          <w:rFonts w:eastAsia="Times New Roman"/>
          <w:sz w:val="22"/>
          <w:szCs w:val="22"/>
        </w:rPr>
        <w:t xml:space="preserve"> AES can be complemented with hash functions like SHA-256 to enhance authentication processes. This combination ensures data integrity alongside encryption, further securing sensitive information stored by Artemis Financial.</w:t>
      </w:r>
    </w:p>
    <w:p w:rsidR="4938763A" w:rsidP="5DFAC0A3" w:rsidRDefault="4938763A" w14:paraId="6F1003A7" w14:textId="3932D252">
      <w:pPr>
        <w:contextualSpacing/>
      </w:pPr>
      <w:r w:rsidRPr="5DFAC0A3">
        <w:rPr>
          <w:rFonts w:eastAsia="Times New Roman"/>
          <w:b/>
          <w:bCs/>
          <w:sz w:val="22"/>
          <w:szCs w:val="22"/>
        </w:rPr>
        <w:t>Use of Random Numbers, Symmetric vs. Non-symmetric Keys:</w:t>
      </w:r>
      <w:r w:rsidRPr="5DFAC0A3">
        <w:rPr>
          <w:rFonts w:eastAsia="Times New Roman"/>
          <w:sz w:val="22"/>
          <w:szCs w:val="22"/>
        </w:rPr>
        <w:t xml:space="preserve"> AES operates with symmetric keys, where the same key is used for both encryption and decryption. This simplicity in key management facilitates efficient data processing and encryption. Random numbers play a crucial role in AES for generating initialization vectors (IVs), enhancing the security of encrypted data by introducing randomness into the encryption process.</w:t>
      </w:r>
    </w:p>
    <w:p w:rsidR="4938763A" w:rsidP="5DFAC0A3" w:rsidRDefault="4938763A" w14:paraId="2B432A12" w14:textId="5F97D63D">
      <w:pPr>
        <w:contextualSpacing/>
      </w:pPr>
      <w:r w:rsidRPr="5DFAC0A3">
        <w:rPr>
          <w:rFonts w:eastAsia="Times New Roman"/>
          <w:b/>
          <w:bCs/>
          <w:sz w:val="22"/>
          <w:szCs w:val="22"/>
        </w:rPr>
        <w:t>History and Current State of Encryption Algorithms:</w:t>
      </w:r>
      <w:r w:rsidRPr="5DFAC0A3">
        <w:rPr>
          <w:rFonts w:eastAsia="Times New Roman"/>
          <w:sz w:val="22"/>
          <w:szCs w:val="22"/>
        </w:rPr>
        <w:t xml:space="preserve"> AES was adopted by the U.S. National Institute of Standards and Technology (NIST) in 2001 after a rigorous selection process that included evaluation against various criteria for security and performance. Since then, AES has become the de facto standard for encryption, trusted globally for its reliability and resistance to cryptographic attacks.</w:t>
      </w:r>
    </w:p>
    <w:p w:rsidR="4938763A" w:rsidP="5DFAC0A3" w:rsidRDefault="4938763A" w14:paraId="544B1977" w14:textId="4CBA55E0">
      <w:pPr>
        <w:contextualSpacing/>
      </w:pPr>
      <w:r w:rsidRPr="5DFAC0A3">
        <w:rPr>
          <w:rFonts w:eastAsia="Times New Roman"/>
          <w:b/>
          <w:bCs/>
          <w:sz w:val="22"/>
          <w:szCs w:val="22"/>
        </w:rPr>
        <w:t>Regulatory Compliance:</w:t>
      </w:r>
      <w:r w:rsidRPr="5DFAC0A3">
        <w:rPr>
          <w:rFonts w:eastAsia="Times New Roman"/>
          <w:sz w:val="22"/>
          <w:szCs w:val="22"/>
        </w:rPr>
        <w:t xml:space="preserve"> AES compliance extends to various regulatory frameworks such as GDPR, HIPAA, and PCI-DSS, ensuring that Artemis Financial meets stringent data protection and privacy requirements. By adhering to these standards, Artemis Financial can mitigate legal risks associated with data breaches and ensure data sovereignty by maintaining control over encryption keys and data storage locations.</w:t>
      </w:r>
    </w:p>
    <w:p w:rsidR="4938763A" w:rsidP="5DFAC0A3" w:rsidRDefault="4938763A" w14:paraId="6150D774" w14:textId="29F12997">
      <w:pPr>
        <w:contextualSpacing/>
      </w:pPr>
      <w:r w:rsidRPr="5DFAC0A3">
        <w:rPr>
          <w:rFonts w:eastAsia="Times New Roman"/>
          <w:sz w:val="22"/>
          <w:szCs w:val="22"/>
        </w:rPr>
        <w:t>In conclusion, AES stands out as an optimal encryption algorithm cipher for Artemis Financial's needs, providing a balance of strong security, regulatory compliance, and operational efficiency essential for safeguarding sensitive financial and archival data over the long term.</w:t>
      </w:r>
    </w:p>
    <w:p w:rsidR="5DFAC0A3" w:rsidP="5DFAC0A3" w:rsidRDefault="5DFAC0A3" w14:paraId="049E687E" w14:textId="526F850C">
      <w:pPr>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Pr="00B7788F" w:rsidR="00DB5652" w:rsidP="5DFAC0A3" w:rsidRDefault="40686066" w14:paraId="77A5BBC5" w14:textId="621D9A7B">
      <w:pPr>
        <w:contextualSpacing/>
        <w:rPr>
          <w:sz w:val="22"/>
          <w:szCs w:val="22"/>
        </w:rPr>
      </w:pPr>
      <w:r>
        <w:rPr>
          <w:noProof/>
        </w:rPr>
        <w:drawing>
          <wp:inline distT="0" distB="0" distL="0" distR="0" wp14:anchorId="3C054601" wp14:editId="5790D2C8">
            <wp:extent cx="5943600" cy="4914900"/>
            <wp:effectExtent l="0" t="0" r="0" b="0"/>
            <wp:docPr id="56994998" name="Picture 5699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00D47759" w:rsidRDefault="00DB5652" w14:paraId="320DBB8C" w14:textId="42B74058">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Pr="00B7788F" w:rsidR="00DB5652" w:rsidP="5DFAC0A3" w:rsidRDefault="59B895DC" w14:paraId="6F681708" w14:textId="763949F5">
      <w:pPr>
        <w:contextualSpacing/>
        <w:rPr>
          <w:sz w:val="22"/>
          <w:szCs w:val="22"/>
        </w:rPr>
      </w:pPr>
      <w:r>
        <w:rPr>
          <w:noProof/>
        </w:rPr>
        <w:drawing>
          <wp:inline distT="0" distB="0" distL="0" distR="0" wp14:anchorId="368A3260" wp14:editId="181974B1">
            <wp:extent cx="5943600" cy="819150"/>
            <wp:effectExtent l="0" t="0" r="0" b="0"/>
            <wp:docPr id="1615975989" name="Picture 161597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00D47759" w:rsidRDefault="00DB5652" w14:paraId="7F9143A1" w14:textId="20DAEBF7">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33862" w:rsidP="47711478" w:rsidRDefault="00E33862" w14:paraId="7B9F371C" w14:textId="27FC80AD">
      <w:pPr>
        <w:spacing/>
        <w:contextualSpacing/>
        <w:rPr>
          <w:rFonts w:cs="Calibri" w:cstheme="minorAscii"/>
          <w:sz w:val="22"/>
          <w:szCs w:val="22"/>
        </w:rPr>
      </w:pPr>
      <w:r w:rsidR="667A5EC6">
        <w:drawing>
          <wp:inline wp14:editId="5E041102" wp14:anchorId="4124B0AF">
            <wp:extent cx="5943600" cy="3162300"/>
            <wp:effectExtent l="0" t="0" r="0" b="0"/>
            <wp:docPr id="180275714" name="" title=""/>
            <wp:cNvGraphicFramePr>
              <a:graphicFrameLocks noChangeAspect="1"/>
            </wp:cNvGraphicFramePr>
            <a:graphic>
              <a:graphicData uri="http://schemas.openxmlformats.org/drawingml/2006/picture">
                <pic:pic>
                  <pic:nvPicPr>
                    <pic:cNvPr id="0" name=""/>
                    <pic:cNvPicPr/>
                  </pic:nvPicPr>
                  <pic:blipFill>
                    <a:blip r:embed="R86f5accc41614250">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r w:rsidR="667A5EC6">
        <w:drawing>
          <wp:inline wp14:editId="4329D2C8" wp14:anchorId="77A7474B">
            <wp:extent cx="5943600" cy="3343275"/>
            <wp:effectExtent l="0" t="0" r="0" b="0"/>
            <wp:docPr id="1245403335" name="" title=""/>
            <wp:cNvGraphicFramePr>
              <a:graphicFrameLocks noChangeAspect="1"/>
            </wp:cNvGraphicFramePr>
            <a:graphic>
              <a:graphicData uri="http://schemas.openxmlformats.org/drawingml/2006/picture">
                <pic:pic>
                  <pic:nvPicPr>
                    <pic:cNvPr id="0" name=""/>
                    <pic:cNvPicPr/>
                  </pic:nvPicPr>
                  <pic:blipFill>
                    <a:blip r:embed="Rc3a64da0d7bb492c">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E3C682B" w:rsidP="47711478" w:rsidRDefault="6E3C682B" w14:paraId="2CF1359A" w14:textId="6508603E">
      <w:pPr>
        <w:spacing/>
        <w:ind w:firstLine="720"/>
        <w:contextualSpacing/>
        <w:rPr>
          <w:rFonts w:eastAsia="Times New Roman"/>
          <w:sz w:val="22"/>
          <w:szCs w:val="22"/>
        </w:rPr>
      </w:pPr>
      <w:r w:rsidRPr="47711478" w:rsidR="6E3C682B">
        <w:rPr>
          <w:rFonts w:eastAsia="Times New Roman"/>
          <w:sz w:val="22"/>
          <w:szCs w:val="22"/>
        </w:rPr>
        <w:t xml:space="preserve">The SSL server application was refactored to enhance security and </w:t>
      </w:r>
      <w:r w:rsidRPr="47711478" w:rsidR="6E3C682B">
        <w:rPr>
          <w:rFonts w:eastAsia="Times New Roman"/>
          <w:sz w:val="22"/>
          <w:szCs w:val="22"/>
        </w:rPr>
        <w:t>comply with</w:t>
      </w:r>
      <w:r w:rsidRPr="47711478" w:rsidR="6E3C682B">
        <w:rPr>
          <w:rFonts w:eastAsia="Times New Roman"/>
          <w:sz w:val="22"/>
          <w:szCs w:val="22"/>
        </w:rPr>
        <w:t xml:space="preserve"> testing protocols. This included configuring HTTPS using an SSL keystore (</w:t>
      </w:r>
      <w:r w:rsidRPr="47711478" w:rsidR="6E3C682B">
        <w:rPr>
          <w:rFonts w:eastAsia="Times New Roman"/>
          <w:sz w:val="22"/>
          <w:szCs w:val="22"/>
        </w:rPr>
        <w:t>keystore.jks</w:t>
      </w:r>
      <w:r w:rsidRPr="47711478" w:rsidR="6E3C682B">
        <w:rPr>
          <w:rFonts w:eastAsia="Times New Roman"/>
          <w:sz w:val="22"/>
          <w:szCs w:val="22"/>
        </w:rPr>
        <w:t xml:space="preserve">) to encrypt data in transit, ensuring confidentiality and integrity. Additionally, a SHA-256 cryptographic hash function was integrated to compute checksums, verifying data </w:t>
      </w:r>
      <w:r w:rsidRPr="47711478" w:rsidR="6E3C682B">
        <w:rPr>
          <w:rFonts w:eastAsia="Times New Roman"/>
          <w:sz w:val="22"/>
          <w:szCs w:val="22"/>
        </w:rPr>
        <w:t>integrity</w:t>
      </w:r>
      <w:r w:rsidRPr="47711478" w:rsidR="6E3C682B">
        <w:rPr>
          <w:rFonts w:eastAsia="Times New Roman"/>
          <w:sz w:val="22"/>
          <w:szCs w:val="22"/>
        </w:rPr>
        <w:t xml:space="preserve"> and guarding against tampering during transmission or storage.</w:t>
      </w:r>
    </w:p>
    <w:p w:rsidR="6E3C682B" w:rsidP="47711478" w:rsidRDefault="6E3C682B" w14:paraId="08D492DF" w14:textId="02B8A261">
      <w:pPr>
        <w:pStyle w:val="Normal"/>
        <w:spacing/>
        <w:ind w:firstLine="720"/>
        <w:contextualSpacing/>
      </w:pPr>
      <w:r w:rsidRPr="47711478" w:rsidR="6E3C682B">
        <w:rPr>
          <w:rFonts w:eastAsia="Times New Roman"/>
          <w:sz w:val="22"/>
          <w:szCs w:val="22"/>
        </w:rPr>
        <w:t>Layers of security were added by implementing HTTPS for encrypted communication and integrating SHA-256 for data integrity checks. These measures bolster the application's defenses against interception and data manipulation risks.</w:t>
      </w:r>
    </w:p>
    <w:p w:rsidR="47711478" w:rsidP="47711478" w:rsidRDefault="47711478" w14:paraId="4DDBD54F" w14:textId="244B2114">
      <w:pPr>
        <w:spacing/>
        <w:contextualSpacing/>
        <w:rPr>
          <w:rFonts w:eastAsia="Times New Roman"/>
          <w:sz w:val="22"/>
          <w:szCs w:val="22"/>
        </w:rPr>
      </w:pP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479CBBCB" w:rsidP="47711478" w:rsidRDefault="479CBBCB" w14:paraId="27F135D5" w14:textId="35128B63">
      <w:pPr>
        <w:spacing/>
        <w:ind w:firstLine="720"/>
        <w:contextualSpacing/>
        <w:rPr>
          <w:rFonts w:eastAsia="Times New Roman"/>
          <w:sz w:val="22"/>
          <w:szCs w:val="22"/>
        </w:rPr>
      </w:pPr>
      <w:r w:rsidRPr="47711478" w:rsidR="479CBBCB">
        <w:rPr>
          <w:rFonts w:eastAsia="Times New Roman"/>
          <w:sz w:val="22"/>
          <w:szCs w:val="22"/>
        </w:rPr>
        <w:t>Industry-standard best practices guided the implementation, emphasizing secure coding techniques and robust cryptographic algorithms. Regular security assessments, including static code analysis and vulnerability scans, ensured early detection and mitigation of potential threats.</w:t>
      </w:r>
    </w:p>
    <w:p w:rsidR="479CBBCB" w:rsidP="47711478" w:rsidRDefault="479CBBCB" w14:paraId="58DBBDDB" w14:textId="59148532">
      <w:pPr>
        <w:pStyle w:val="Normal"/>
        <w:spacing/>
        <w:ind w:firstLine="720"/>
        <w:contextualSpacing/>
      </w:pPr>
      <w:r w:rsidRPr="47711478" w:rsidR="479CBBCB">
        <w:rPr>
          <w:rFonts w:eastAsia="Times New Roman"/>
          <w:sz w:val="22"/>
          <w:szCs w:val="22"/>
        </w:rPr>
        <w:t xml:space="preserve">Applying secure coding practices like HTTPS implementation and SHA-256 hashing strengthens the application's resilience against cyber threats. It safeguards sensitive data, mitigates risks of breaches, and fosters trust with stakeholders by </w:t>
      </w:r>
      <w:r w:rsidRPr="47711478" w:rsidR="479CBBCB">
        <w:rPr>
          <w:rFonts w:eastAsia="Times New Roman"/>
          <w:sz w:val="22"/>
          <w:szCs w:val="22"/>
        </w:rPr>
        <w:t>demonstrating</w:t>
      </w:r>
      <w:r w:rsidRPr="47711478" w:rsidR="479CBBCB">
        <w:rPr>
          <w:rFonts w:eastAsia="Times New Roman"/>
          <w:sz w:val="22"/>
          <w:szCs w:val="22"/>
        </w:rPr>
        <w:t xml:space="preserve"> commitment to security and compliance with industry standards. This approach contributes to business continuity and protects the company's reputation, minimizing the impact of security incidents and regulatory penalties.</w:t>
      </w:r>
    </w:p>
    <w:p w:rsidR="47711478" w:rsidP="47711478" w:rsidRDefault="47711478" w14:paraId="65959DE5" w14:textId="54A48245">
      <w:pPr>
        <w:spacing/>
        <w:contextualSpacing/>
        <w:rPr>
          <w:rFonts w:eastAsia="Times New Roman"/>
          <w:sz w:val="22"/>
          <w:szCs w:val="22"/>
        </w:rPr>
      </w:pPr>
    </w:p>
    <w:sectPr w:rsidRPr="00B7788F" w:rsidR="00974AE3" w:rsidSect="00C41B36">
      <w:headerReference w:type="default" r:id="rId15"/>
      <w:footerReference w:type="even"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809" w:rsidP="002F3F84" w:rsidRDefault="00F85809" w14:paraId="6DE16934" w14:textId="77777777">
      <w:r>
        <w:separator/>
      </w:r>
    </w:p>
  </w:endnote>
  <w:endnote w:type="continuationSeparator" w:id="0">
    <w:p w:rsidR="00F85809" w:rsidP="002F3F84" w:rsidRDefault="00F85809" w14:paraId="0D692FAE" w14:textId="77777777">
      <w:r>
        <w:continuationSeparator/>
      </w:r>
    </w:p>
  </w:endnote>
  <w:endnote w:type="continuationNotice" w:id="1">
    <w:p w:rsidR="00F85809" w:rsidRDefault="00F85809" w14:paraId="78B3949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809" w:rsidP="002F3F84" w:rsidRDefault="00F85809" w14:paraId="17584BF1" w14:textId="77777777">
      <w:r>
        <w:separator/>
      </w:r>
    </w:p>
  </w:footnote>
  <w:footnote w:type="continuationSeparator" w:id="0">
    <w:p w:rsidR="00F85809" w:rsidP="002F3F84" w:rsidRDefault="00F85809" w14:paraId="3575D7B7" w14:textId="77777777">
      <w:r>
        <w:continuationSeparator/>
      </w:r>
    </w:p>
  </w:footnote>
  <w:footnote w:type="continuationNotice" w:id="1">
    <w:p w:rsidR="00F85809" w:rsidRDefault="00F85809" w14:paraId="5154870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95592471">
    <w:abstractNumId w:val="16"/>
  </w:num>
  <w:num w:numId="2" w16cid:durableId="494800857">
    <w:abstractNumId w:val="20"/>
  </w:num>
  <w:num w:numId="3" w16cid:durableId="665321760">
    <w:abstractNumId w:val="6"/>
  </w:num>
  <w:num w:numId="4" w16cid:durableId="836265372">
    <w:abstractNumId w:val="8"/>
  </w:num>
  <w:num w:numId="5" w16cid:durableId="1079135864">
    <w:abstractNumId w:val="4"/>
  </w:num>
  <w:num w:numId="6" w16cid:durableId="449980908">
    <w:abstractNumId w:val="17"/>
  </w:num>
  <w:num w:numId="7" w16cid:durableId="1260480980">
    <w:abstractNumId w:val="12"/>
    <w:lvlOverride w:ilvl="0">
      <w:lvl w:ilvl="0">
        <w:numFmt w:val="lowerLetter"/>
        <w:lvlText w:val="%1."/>
        <w:lvlJc w:val="left"/>
      </w:lvl>
    </w:lvlOverride>
  </w:num>
  <w:num w:numId="8" w16cid:durableId="1872186011">
    <w:abstractNumId w:val="5"/>
  </w:num>
  <w:num w:numId="9" w16cid:durableId="99299970">
    <w:abstractNumId w:val="1"/>
    <w:lvlOverride w:ilvl="0">
      <w:lvl w:ilvl="0">
        <w:numFmt w:val="lowerLetter"/>
        <w:lvlText w:val="%1."/>
        <w:lvlJc w:val="left"/>
      </w:lvl>
    </w:lvlOverride>
  </w:num>
  <w:num w:numId="10" w16cid:durableId="304480918">
    <w:abstractNumId w:val="0"/>
  </w:num>
  <w:num w:numId="11" w16cid:durableId="1377193125">
    <w:abstractNumId w:val="3"/>
  </w:num>
  <w:num w:numId="12" w16cid:durableId="1513569403">
    <w:abstractNumId w:val="19"/>
  </w:num>
  <w:num w:numId="13" w16cid:durableId="825168471">
    <w:abstractNumId w:val="15"/>
  </w:num>
  <w:num w:numId="14" w16cid:durableId="393358515">
    <w:abstractNumId w:val="2"/>
  </w:num>
  <w:num w:numId="15" w16cid:durableId="1087966787">
    <w:abstractNumId w:val="11"/>
  </w:num>
  <w:num w:numId="16" w16cid:durableId="1668436705">
    <w:abstractNumId w:val="9"/>
  </w:num>
  <w:num w:numId="17" w16cid:durableId="1463422902">
    <w:abstractNumId w:val="14"/>
  </w:num>
  <w:num w:numId="18" w16cid:durableId="1499882639">
    <w:abstractNumId w:val="18"/>
  </w:num>
  <w:num w:numId="19" w16cid:durableId="52971479">
    <w:abstractNumId w:val="7"/>
  </w:num>
  <w:num w:numId="20" w16cid:durableId="392311886">
    <w:abstractNumId w:val="13"/>
  </w:num>
  <w:num w:numId="21" w16cid:durableId="1800948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1CBB"/>
    <w:rsid w:val="00102186"/>
    <w:rsid w:val="00102660"/>
    <w:rsid w:val="0010436E"/>
    <w:rsid w:val="00114D54"/>
    <w:rsid w:val="00120ACD"/>
    <w:rsid w:val="00144936"/>
    <w:rsid w:val="00151233"/>
    <w:rsid w:val="00164480"/>
    <w:rsid w:val="00177698"/>
    <w:rsid w:val="001812D7"/>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401CB"/>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57A3A"/>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85809"/>
    <w:rsid w:val="00FC36E8"/>
    <w:rsid w:val="00FC47F0"/>
    <w:rsid w:val="00FD1686"/>
    <w:rsid w:val="00FD7CC8"/>
    <w:rsid w:val="00FF48E7"/>
    <w:rsid w:val="00FF5CF5"/>
    <w:rsid w:val="018FF2A0"/>
    <w:rsid w:val="02F243EC"/>
    <w:rsid w:val="06329017"/>
    <w:rsid w:val="0CCEF2C9"/>
    <w:rsid w:val="195DB78F"/>
    <w:rsid w:val="1FA2FC07"/>
    <w:rsid w:val="1FCCF913"/>
    <w:rsid w:val="2168C974"/>
    <w:rsid w:val="236039E6"/>
    <w:rsid w:val="255D9F65"/>
    <w:rsid w:val="275A6BDC"/>
    <w:rsid w:val="2CB369A1"/>
    <w:rsid w:val="2E5D5C8F"/>
    <w:rsid w:val="2F43C643"/>
    <w:rsid w:val="30A2BF11"/>
    <w:rsid w:val="329BBDBD"/>
    <w:rsid w:val="3322AB25"/>
    <w:rsid w:val="347D29E8"/>
    <w:rsid w:val="35D35E7F"/>
    <w:rsid w:val="3AE22101"/>
    <w:rsid w:val="3BC013C1"/>
    <w:rsid w:val="4007FAAC"/>
    <w:rsid w:val="40686066"/>
    <w:rsid w:val="44136985"/>
    <w:rsid w:val="454174DB"/>
    <w:rsid w:val="47711478"/>
    <w:rsid w:val="479CBBCB"/>
    <w:rsid w:val="47F056AF"/>
    <w:rsid w:val="48E6DAA8"/>
    <w:rsid w:val="4938763A"/>
    <w:rsid w:val="4A82AB09"/>
    <w:rsid w:val="4E510242"/>
    <w:rsid w:val="5018F677"/>
    <w:rsid w:val="51391587"/>
    <w:rsid w:val="56954D80"/>
    <w:rsid w:val="59B895DC"/>
    <w:rsid w:val="5A02075A"/>
    <w:rsid w:val="5B587107"/>
    <w:rsid w:val="5B95489A"/>
    <w:rsid w:val="5DD73C14"/>
    <w:rsid w:val="5DFAC0A3"/>
    <w:rsid w:val="5F72DB08"/>
    <w:rsid w:val="604FE896"/>
    <w:rsid w:val="620D193F"/>
    <w:rsid w:val="6292A5E1"/>
    <w:rsid w:val="667A5EC6"/>
    <w:rsid w:val="681DCBB2"/>
    <w:rsid w:val="69DDBFCF"/>
    <w:rsid w:val="69EDBCD2"/>
    <w:rsid w:val="6D4E6B20"/>
    <w:rsid w:val="6E3C682B"/>
    <w:rsid w:val="704F81D0"/>
    <w:rsid w:val="7101F37A"/>
    <w:rsid w:val="72AB027D"/>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5.png" Id="R86f5accc41614250" /><Relationship Type="http://schemas.openxmlformats.org/officeDocument/2006/relationships/image" Target="/media/image6.png" Id="Rc3a64da0d7bb49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MacKenzie-Hager, Quinlin</lastModifiedBy>
  <revision>54</revision>
  <dcterms:created xsi:type="dcterms:W3CDTF">2024-06-30T17:38:00.0000000Z</dcterms:created>
  <dcterms:modified xsi:type="dcterms:W3CDTF">2024-06-30T17:45:00.1229344Z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