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dqhe0lqd9z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sn5ukk12m2jd" w:id="1"/>
      <w:bookmarkEnd w:id="1"/>
      <w:r w:rsidDel="00000000" w:rsidR="00000000" w:rsidRPr="00000000">
        <w:rPr>
          <w:rtl w:val="0"/>
        </w:rPr>
        <w:t xml:space="preserve">CIÊNCIAS AMBIENTAIS (</w:t>
      </w:r>
      <w:r w:rsidDel="00000000" w:rsidR="00000000" w:rsidRPr="00000000">
        <w:rPr>
          <w:rtl w:val="0"/>
        </w:rPr>
        <w:t xml:space="preserve">ENG4040</w:t>
      </w:r>
      <w:r w:rsidDel="00000000" w:rsidR="00000000" w:rsidRPr="00000000">
        <w:rPr>
          <w:rtl w:val="0"/>
        </w:rPr>
        <w:t xml:space="preserve">) - DEFINIÇÕES DO PROJETO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Alunos: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Luísa Ferreira da Silveira</w:t>
        <w:tab/>
        <w:tab/>
        <w:t xml:space="preserve">2210875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Pedro de Almeida Barizon</w:t>
        <w:tab/>
        <w:tab/>
        <w:t xml:space="preserve">2211350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Theo Couto Xavier </w:t>
        <w:tab/>
        <w:tab/>
        <w:tab/>
        <w:t xml:space="preserve">2210610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Vinícius Lucena Bitu Cortez</w:t>
        <w:tab/>
        <w:tab/>
        <w:t xml:space="preserve">2210458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Professora:</w:t>
      </w:r>
      <w:r w:rsidDel="00000000" w:rsidR="00000000" w:rsidRPr="00000000">
        <w:rPr>
          <w:rtl w:val="0"/>
        </w:rPr>
        <w:t xml:space="preserve"> Paula Medina Maçaira Louro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Monitora:</w:t>
      </w:r>
      <w:r w:rsidDel="00000000" w:rsidR="00000000" w:rsidRPr="00000000">
        <w:rPr>
          <w:rtl w:val="0"/>
        </w:rPr>
        <w:t xml:space="preserve"> Laura Nascimento Coutinho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Turma:</w:t>
      </w:r>
      <w:r w:rsidDel="00000000" w:rsidR="00000000" w:rsidRPr="00000000">
        <w:rPr>
          <w:rtl w:val="0"/>
        </w:rPr>
        <w:t xml:space="preserve"> 33A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29/03/2025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type w:val="nextPage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  <w:t xml:space="preserve">Rio de Janeiro, 2025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rPr>
          <w:b w:val="1"/>
        </w:rPr>
      </w:pPr>
      <w:bookmarkStart w:colFirst="0" w:colLast="0" w:name="_vhf5htg4hf8a" w:id="2"/>
      <w:bookmarkEnd w:id="2"/>
      <w:r w:rsidDel="00000000" w:rsidR="00000000" w:rsidRPr="00000000">
        <w:rPr>
          <w:rtl w:val="0"/>
        </w:rPr>
        <w:t xml:space="preserve">Tema do projeto e seus objetivos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  <w:tab/>
        <w:t xml:space="preserve">Considerando o macrotema do projeto AMazonizAR, um esforço de inserção da PUC-Rio no contexto da Amazônia (ECOA PUC-RIO, 2023), e a premente situação sócio-climático-ambiental em que não apenas a Grande Floresta se encontra, mas toda a Terra, optou-se pelo seguinte tema para o projeto: </w:t>
      </w:r>
      <w:r w:rsidDel="00000000" w:rsidR="00000000" w:rsidRPr="00000000">
        <w:rPr>
          <w:b w:val="1"/>
          <w:i w:val="1"/>
          <w:rtl w:val="0"/>
        </w:rPr>
        <w:t xml:space="preserve">Na Amazônia Legal, qual a inter-relação entre incêndios florestais, mudanças climáticas e emissão de dióxido de carbono (CO₂)?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que diz respeito aos objetivos deste trabalho, mesclam tanto interesses de natureza acadêmica quanto de natureza cidadã. Se, por um lado, almeja-se aprender os conceitos e as ferramentas que compõem a Ciência de Dados contemporânea; por outro, objetiva-se compreender melhor o cenário amazônico, tão relevante não apenas à nação brasileira, senão ao mundo inteiro, que vê chegarem os efeitos de uma crise ambiental que não parece ter planos de ir embora. Assim, na impossibilidade de vê-la partir, deve-se aprender a conviver com a iminente crise — e, para tanto, são necessários análise e estudo.</w:t>
      </w:r>
    </w:p>
    <w:p w:rsidR="00000000" w:rsidDel="00000000" w:rsidP="00000000" w:rsidRDefault="00000000" w:rsidRPr="00000000" w14:paraId="00000024">
      <w:pPr>
        <w:ind w:firstLine="0"/>
        <w:rPr/>
        <w:sectPr>
          <w:headerReference r:id="rId10" w:type="default"/>
          <w:headerReference r:id="rId11" w:type="first"/>
          <w:footerReference r:id="rId12" w:type="default"/>
          <w:footerReference r:id="rId13" w:type="first"/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rPr>
          <w:b w:val="1"/>
        </w:rPr>
      </w:pPr>
      <w:bookmarkStart w:colFirst="0" w:colLast="0" w:name="_5d73xz77g1g3" w:id="3"/>
      <w:bookmarkEnd w:id="3"/>
      <w:r w:rsidDel="00000000" w:rsidR="00000000" w:rsidRPr="00000000">
        <w:rPr>
          <w:rtl w:val="0"/>
        </w:rPr>
        <w:t xml:space="preserve">Questão de pesquisa e cliente-alvo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ab/>
        <w:t xml:space="preserve">A fim de transformar o tema do projeto em algo mais tangível e mensurável, formulou-se esta questão de pesquisa: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Conhecendo-se os indicadores ambientais de um município da Amazônia Legal e seus níveis de incêndios florestais (queimadas) em um dado mês, qual a quantidade de CO₂, em toneladas, emitida por ele na atmosfera nesse mês?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o caso de a absorção ser maior que a emissão de dióxido de carbono, convencionou-se uma emissão negativa. Quanto aos municípios, serão considerados segundo a classificação do IBGE (2020):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Acre (AC);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Amapá (AP);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Amazonas (AM);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Maranhão (MA);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Mato Grosso (MT);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Pará (PA);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Rondônia (RO);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Roraima (RR);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Tocantins (TO).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/>
        <w:sectPr>
          <w:headerReference r:id="rId14" w:type="default"/>
          <w:headerReference r:id="rId15" w:type="first"/>
          <w:footerReference r:id="rId16" w:type="default"/>
          <w:footerReference r:id="rId17" w:type="first"/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ab/>
        <w:t xml:space="preserve">Considerando-se o macrotema descrito na seção anterior, os clientes-alvo serão os </w:t>
      </w:r>
      <w:r w:rsidDel="00000000" w:rsidR="00000000" w:rsidRPr="00000000">
        <w:rPr>
          <w:b w:val="1"/>
          <w:rtl w:val="0"/>
        </w:rPr>
        <w:t xml:space="preserve">participantes do projeto AMazonizAR, da PUC-Rio</w:t>
      </w:r>
      <w:r w:rsidDel="00000000" w:rsidR="00000000" w:rsidRPr="00000000">
        <w:rPr>
          <w:rtl w:val="0"/>
        </w:rPr>
        <w:t xml:space="preserve">. Espera-se oferecer-lhes uma ferramenta que agregue valor ao permitir estimar um panorama de emissões da Floresta, o que configura um indicador útil em relação ao controle da crise climática e ao mundo dos créditos de carbono — temas de interesse de toda a comunidade global, que poderá mostrar-se mais solícita com o projeto diante de estimativas quantitativas.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rPr>
          <w:b w:val="1"/>
        </w:rPr>
      </w:pPr>
      <w:bookmarkStart w:colFirst="0" w:colLast="0" w:name="_3f9d7eafcna5" w:id="4"/>
      <w:bookmarkEnd w:id="4"/>
      <w:r w:rsidDel="00000000" w:rsidR="00000000" w:rsidRPr="00000000">
        <w:rPr>
          <w:rtl w:val="0"/>
        </w:rPr>
        <w:t xml:space="preserve">Possíveis bases de dados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ab/>
        <w:t xml:space="preserve">Abaixo, seguem algumas bases promissoras para coleta de dados que comporão a análise exploratória: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INPE (Instituto Nacional de Pesquisas Espaciais)</w:t>
      </w:r>
      <w:r w:rsidDel="00000000" w:rsidR="00000000" w:rsidRPr="00000000">
        <w:rPr>
          <w:rtl w:val="0"/>
        </w:rPr>
        <w:t xml:space="preserve"> – O INPE (2025) disponibiliza dados sobre queimadas e emissões de </w:t>
      </w:r>
      <w:r w:rsidDel="00000000" w:rsidR="00000000" w:rsidRPr="00000000">
        <w:rPr>
          <w:rtl w:val="0"/>
        </w:rPr>
        <w:t xml:space="preserve">CO₂</w:t>
      </w:r>
      <w:r w:rsidDel="00000000" w:rsidR="00000000" w:rsidRPr="00000000">
        <w:rPr>
          <w:rtl w:val="0"/>
        </w:rPr>
        <w:t xml:space="preserve"> na Amazônia através do </w:t>
      </w:r>
      <w:r w:rsidDel="00000000" w:rsidR="00000000" w:rsidRPr="00000000">
        <w:rPr>
          <w:b w:val="1"/>
          <w:rtl w:val="0"/>
        </w:rPr>
        <w:t xml:space="preserve">Programa de Queimadas</w:t>
      </w:r>
      <w:r w:rsidDel="00000000" w:rsidR="00000000" w:rsidRPr="00000000">
        <w:rPr>
          <w:rtl w:val="0"/>
        </w:rPr>
        <w:t xml:space="preserve"> e do </w:t>
      </w:r>
      <w:r w:rsidDel="00000000" w:rsidR="00000000" w:rsidRPr="00000000">
        <w:rPr>
          <w:b w:val="1"/>
          <w:rtl w:val="0"/>
        </w:rPr>
        <w:t xml:space="preserve">Sistema de Estimativa de Emissão de Gases por Queimadas (SEEG)</w:t>
      </w:r>
      <w:r w:rsidDel="00000000" w:rsidR="00000000" w:rsidRPr="00000000">
        <w:rPr>
          <w:rtl w:val="0"/>
        </w:rPr>
        <w:t xml:space="preserve">. O banco de dados contém informações detalhadas sobre focos de incêndio detectados via satélite.</w:t>
      </w:r>
    </w:p>
    <w:p w:rsidR="00000000" w:rsidDel="00000000" w:rsidP="00000000" w:rsidRDefault="00000000" w:rsidRPr="00000000" w14:paraId="0000003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Banco de Dados do SEEG (Sistema de Estimativas de Emissões de Gases de Efeito Estufa)</w:t>
      </w:r>
      <w:r w:rsidDel="00000000" w:rsidR="00000000" w:rsidRPr="00000000">
        <w:rPr>
          <w:rtl w:val="0"/>
        </w:rPr>
        <w:t xml:space="preserve"> – O SEEG, mantido pelo </w:t>
      </w:r>
      <w:r w:rsidDel="00000000" w:rsidR="00000000" w:rsidRPr="00000000">
        <w:rPr>
          <w:b w:val="1"/>
          <w:rtl w:val="0"/>
        </w:rPr>
        <w:t xml:space="preserve">Observatório do Clima </w:t>
      </w:r>
      <w:r w:rsidDel="00000000" w:rsidR="00000000" w:rsidRPr="00000000">
        <w:rPr>
          <w:rtl w:val="0"/>
        </w:rPr>
        <w:t xml:space="preserve">(2025), fornece estimativas de emissões de gases de efeito estufa, incluindo CO₂, para diferentes setores e regiões do Brasil, incluindo a Amazônia Legal.</w:t>
      </w:r>
    </w:p>
    <w:p w:rsidR="00000000" w:rsidDel="00000000" w:rsidP="00000000" w:rsidRDefault="00000000" w:rsidRPr="00000000" w14:paraId="0000003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World Resources Institute (WRI) – Global Forest Watch (GFW)</w:t>
      </w:r>
      <w:r w:rsidDel="00000000" w:rsidR="00000000" w:rsidRPr="00000000">
        <w:rPr>
          <w:rtl w:val="0"/>
        </w:rPr>
        <w:t xml:space="preserve"> – O GFW (2025) oferece um banco de dados global sobre desmatamento e incêndios florestais, com imagens de satélite e análises temporais, permitindo acompanhar a evolução da degradação florestal e das emissões associadas.</w:t>
      </w:r>
    </w:p>
    <w:p w:rsidR="00000000" w:rsidDel="00000000" w:rsidP="00000000" w:rsidRDefault="00000000" w:rsidRPr="00000000" w14:paraId="0000003E">
      <w:pPr>
        <w:ind w:firstLine="0"/>
        <w:rPr/>
        <w:sectPr>
          <w:headerReference r:id="rId18" w:type="default"/>
          <w:headerReference r:id="rId19" w:type="first"/>
          <w:footerReference r:id="rId20" w:type="default"/>
          <w:footerReference r:id="rId21" w:type="first"/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rPr>
          <w:b w:val="1"/>
        </w:rPr>
      </w:pPr>
      <w:bookmarkStart w:colFirst="0" w:colLast="0" w:name="_ub86ox2ncr6s" w:id="5"/>
      <w:bookmarkEnd w:id="5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  <w:t xml:space="preserve">ECOA PUC-RIO. </w:t>
      </w:r>
      <w:r w:rsidDel="00000000" w:rsidR="00000000" w:rsidRPr="00000000">
        <w:rPr>
          <w:b w:val="1"/>
          <w:rtl w:val="0"/>
        </w:rPr>
        <w:t xml:space="preserve">AMazonizAR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da instituição, 2023. Disponível em: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https://instituto.ecoa.puc-rio.br/amazonizar/</w:t>
        </w:r>
      </w:hyperlink>
      <w:r w:rsidDel="00000000" w:rsidR="00000000" w:rsidRPr="00000000">
        <w:rPr>
          <w:rtl w:val="0"/>
        </w:rPr>
        <w:t xml:space="preserve">. Acesso em: 29 mar. 2025.</w:t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IBGE. </w:t>
      </w:r>
      <w:r w:rsidDel="00000000" w:rsidR="00000000" w:rsidRPr="00000000">
        <w:rPr>
          <w:b w:val="1"/>
          <w:rtl w:val="0"/>
        </w:rPr>
        <w:t xml:space="preserve">IBGE atualiza mapa da Amazônia Legal</w:t>
      </w:r>
      <w:r w:rsidDel="00000000" w:rsidR="00000000" w:rsidRPr="00000000">
        <w:rPr>
          <w:rtl w:val="0"/>
        </w:rPr>
        <w:t xml:space="preserve">. Agência de Notícias IBGE, 16 jul. 2020. Disponível em: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https://agenciadenoticias.ibge.gov.br/agencia-sala-de-imprensa/2013-agencia-de-noticias/releases/28089-ibge-atualiza-mapa-da-amazonia-legal</w:t>
        </w:r>
      </w:hyperlink>
      <w:r w:rsidDel="00000000" w:rsidR="00000000" w:rsidRPr="00000000">
        <w:rPr>
          <w:rtl w:val="0"/>
        </w:rPr>
        <w:t xml:space="preserve">. Acesso em: 4 abr. 2025.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INSTITUTO NACIONAL DE PESQUISAS ESPACIAIS. </w:t>
      </w:r>
      <w:r w:rsidDel="00000000" w:rsidR="00000000" w:rsidRPr="00000000">
        <w:rPr>
          <w:b w:val="1"/>
          <w:rtl w:val="0"/>
        </w:rPr>
        <w:t xml:space="preserve">Dados Abertos</w:t>
      </w:r>
      <w:r w:rsidDel="00000000" w:rsidR="00000000" w:rsidRPr="00000000">
        <w:rPr>
          <w:rtl w:val="0"/>
        </w:rPr>
        <w:t xml:space="preserve">. Disponível em: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https://www.gov.br/inpe/pt-br/acesso-a-informacao/dados-abertos/</w:t>
        </w:r>
      </w:hyperlink>
      <w:r w:rsidDel="00000000" w:rsidR="00000000" w:rsidRPr="00000000">
        <w:rPr>
          <w:rtl w:val="0"/>
        </w:rPr>
        <w:t xml:space="preserve">. Acesso em: 29 mar. 2025.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OBSERVATÓRIO DO CLIMA. </w:t>
      </w:r>
      <w:r w:rsidDel="00000000" w:rsidR="00000000" w:rsidRPr="00000000">
        <w:rPr>
          <w:b w:val="1"/>
          <w:rtl w:val="0"/>
        </w:rPr>
        <w:t xml:space="preserve">Sistema de Estimativas de Emissões de Gases de Efeito Estufa (SEEG)</w:t>
      </w:r>
      <w:r w:rsidDel="00000000" w:rsidR="00000000" w:rsidRPr="00000000">
        <w:rPr>
          <w:rtl w:val="0"/>
        </w:rPr>
        <w:t xml:space="preserve">. Disponível em: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https://plataforma.seeg.eco.br/</w:t>
        </w:r>
      </w:hyperlink>
      <w:r w:rsidDel="00000000" w:rsidR="00000000" w:rsidRPr="00000000">
        <w:rPr>
          <w:rtl w:val="0"/>
        </w:rPr>
        <w:t xml:space="preserve">. Acesso em: 29 mar. 2025.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  <w:t xml:space="preserve">WORLD RESOURCES INSTITUTE. </w:t>
      </w:r>
      <w:r w:rsidDel="00000000" w:rsidR="00000000" w:rsidRPr="00000000">
        <w:rPr>
          <w:b w:val="1"/>
          <w:rtl w:val="0"/>
        </w:rPr>
        <w:t xml:space="preserve">Global Forest Watch (GFW)</w:t>
      </w:r>
      <w:r w:rsidDel="00000000" w:rsidR="00000000" w:rsidRPr="00000000">
        <w:rPr>
          <w:rtl w:val="0"/>
        </w:rPr>
        <w:t xml:space="preserve">. Disponível em: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https://www.globalforestwatch.org/</w:t>
        </w:r>
      </w:hyperlink>
      <w:r w:rsidDel="00000000" w:rsidR="00000000" w:rsidRPr="00000000">
        <w:rPr>
          <w:rtl w:val="0"/>
        </w:rPr>
        <w:t xml:space="preserve">. Acesso em: 29 mar. 2025.</w:t>
      </w:r>
    </w:p>
    <w:sectPr>
      <w:headerReference r:id="rId32" w:type="default"/>
      <w:headerReference r:id="rId33" w:type="first"/>
      <w:footerReference r:id="rId34" w:type="default"/>
      <w:footerReference r:id="rId35" w:type="firs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891240" cy="10525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1240" cy="1052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720" w:hanging="36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22" Type="http://schemas.openxmlformats.org/officeDocument/2006/relationships/hyperlink" Target="https://instituto.ecoa.puc-rio.br/amazonizar/" TargetMode="External"/><Relationship Id="rId21" Type="http://schemas.openxmlformats.org/officeDocument/2006/relationships/footer" Target="footer2.xml"/><Relationship Id="rId24" Type="http://schemas.openxmlformats.org/officeDocument/2006/relationships/hyperlink" Target="https://agenciadenoticias.ibge.gov.br/agencia-sala-de-imprensa/2013-agencia-de-noticias/releases/28089-ibge-atualiza-mapa-da-amazonia-legal" TargetMode="External"/><Relationship Id="rId23" Type="http://schemas.openxmlformats.org/officeDocument/2006/relationships/hyperlink" Target="https://instituto.ecoa.puc-rio.br/amazoniz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hyperlink" Target="https://www.gov.br/inpe/pt-br/acesso-a-informacao/dados-abertos/" TargetMode="External"/><Relationship Id="rId25" Type="http://schemas.openxmlformats.org/officeDocument/2006/relationships/hyperlink" Target="https://agenciadenoticias.ibge.gov.br/agencia-sala-de-imprensa/2013-agencia-de-noticias/releases/28089-ibge-atualiza-mapa-da-amazonia-legal" TargetMode="External"/><Relationship Id="rId28" Type="http://schemas.openxmlformats.org/officeDocument/2006/relationships/hyperlink" Target="https://plataforma.seeg.eco.br/" TargetMode="External"/><Relationship Id="rId27" Type="http://schemas.openxmlformats.org/officeDocument/2006/relationships/hyperlink" Target="https://www.gov.br/inpe/pt-br/acesso-a-informacao/dados-abertos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hyperlink" Target="https://plataforma.seeg.eco.br/" TargetMode="Externa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31" Type="http://schemas.openxmlformats.org/officeDocument/2006/relationships/hyperlink" Target="https://www.globalforestwatch.org/" TargetMode="External"/><Relationship Id="rId30" Type="http://schemas.openxmlformats.org/officeDocument/2006/relationships/hyperlink" Target="https://www.globalforestwatch.org/" TargetMode="External"/><Relationship Id="rId11" Type="http://schemas.openxmlformats.org/officeDocument/2006/relationships/header" Target="header2.xml"/><Relationship Id="rId33" Type="http://schemas.openxmlformats.org/officeDocument/2006/relationships/header" Target="header2.xml"/><Relationship Id="rId10" Type="http://schemas.openxmlformats.org/officeDocument/2006/relationships/header" Target="header1.xml"/><Relationship Id="rId32" Type="http://schemas.openxmlformats.org/officeDocument/2006/relationships/header" Target="header1.xml"/><Relationship Id="rId13" Type="http://schemas.openxmlformats.org/officeDocument/2006/relationships/footer" Target="footer2.xml"/><Relationship Id="rId35" Type="http://schemas.openxmlformats.org/officeDocument/2006/relationships/footer" Target="footer2.xml"/><Relationship Id="rId12" Type="http://schemas.openxmlformats.org/officeDocument/2006/relationships/footer" Target="footer1.xml"/><Relationship Id="rId34" Type="http://schemas.openxmlformats.org/officeDocument/2006/relationships/footer" Target="footer1.xm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19" Type="http://schemas.openxmlformats.org/officeDocument/2006/relationships/header" Target="header2.xml"/><Relationship Id="rId1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