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DEFINIÇÃO DO TEMA DE PESQUISA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Tema: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Previsão de crises socioeconômicas nos municípios da Amazônia Legal com base em informações ambientais (precipitações, temperatura, relevo, níveis de degradação…) e socioeconômicas (PIB </w:t>
      </w:r>
      <w:r w:rsidDel="00000000" w:rsidR="00000000" w:rsidRPr="00000000">
        <w:rPr>
          <w:rFonts w:ascii="Times New Roman" w:cs="Times New Roman" w:eastAsia="Times New Roman" w:hAnsi="Times New Roman"/>
          <w:i w:val="1"/>
          <w:strike w:val="1"/>
          <w:sz w:val="24"/>
          <w:szCs w:val="24"/>
          <w:rtl w:val="0"/>
        </w:rPr>
        <w:t xml:space="preserve">per capita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 do município, uso da terra, IDH local, infraestrutura local). - NÃO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Previsão de escassez de água (potável) em municípios da Amazônia Legal com base em informações ambientais e socioeconômicas.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Estimativa do risco de extinção de espécies da fauna ou da flora da Amazônia Legal. - JÁ TEM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Incêndios florestais, mudanças climáticas - emissões de CO2.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Previsão de escassez de energia em municípios da Amazônia Legal com base em informações ambientais e socioeconômicas.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Infraestrutura e Desenvolvimento Regional.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Segurança Alimentar e Produção Agrícola.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Objetivo: analisar se a expansão da fronteira agrícola na Amazônia está melhorando ou prejudicando a segurança alimentar da população local.</w:t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