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4"/>
          <w:szCs w:val="24"/>
        </w:rPr>
        <w:t xml:space="preserve">BEFORE THE HON'BLE DISTRICT CONSUMER DISPUTES REDRESSAL COMMISSION, GHAZIABAD (U.P.)</w:t>
      </w:r>
    </w:p>
    <w:p>
      <w:pPr>
        <w:spacing w:after="60"/>
        <w:jc w:val="center"/>
      </w:pPr>
      <w:r>
        <w:rPr>
          <w:rFonts w:ascii="Times New Roman" w:cs="Times New Roman" w:eastAsia="Times New Roman" w:hAnsi="Times New Roman"/>
          <w:b/>
          <w:bCs/>
          <w:i w:val="false"/>
          <w:iCs w:val="false"/>
          <w:sz w:val="24"/>
          <w:szCs w:val="24"/>
        </w:rPr>
        <w:t xml:space="preserve">CONSUMER COMPLAINT NO. _______ OF 2026</w:t>
      </w:r>
    </w:p>
    <w:p>
      <w:pPr>
        <w:spacing w:after="120"/>
        <w:jc w:val="center"/>
      </w:pPr>
      <w:r>
        <w:rPr>
          <w:rFonts w:ascii="Times New Roman" w:cs="Times New Roman" w:eastAsia="Times New Roman" w:hAnsi="Times New Roman"/>
          <w:b w:val="false"/>
          <w:bCs w:val="false"/>
          <w:i/>
          <w:iCs/>
          <w:sz w:val="22"/>
          <w:szCs w:val="22"/>
        </w:rPr>
        <w:t xml:space="preserve">(Complaint under Section 35 of the Consumer Protection Act, 2019)</w:t>
      </w:r>
    </w:p>
    <w:p>
      <w:pPr>
        <w:spacing w:after="40"/>
      </w:pPr>
      <w:r>
        <w:rPr>
          <w:rFonts w:ascii="Times New Roman" w:cs="Times New Roman" w:eastAsia="Times New Roman" w:hAnsi="Times New Roman"/>
          <w:b/>
          <w:bCs/>
          <w:sz w:val="22"/>
          <w:szCs w:val="22"/>
        </w:rPr>
        <w:t xml:space="preserve">IN THE MATTER OF:</w:t>
      </w:r>
    </w:p>
    <w:p>
      <w:pPr>
        <w:spacing w:after="40"/>
      </w:pPr>
      <w:r>
        <w:rPr>
          <w:rFonts w:ascii="Times New Roman" w:cs="Times New Roman" w:eastAsia="Times New Roman" w:hAnsi="Times New Roman"/>
          <w:b/>
          <w:bCs/>
          <w:sz w:val="22"/>
          <w:szCs w:val="22"/>
        </w:rPr>
        <w:t xml:space="preserve">Vikas Gandhi</w:t>
      </w:r>
      <w:r>
        <w:rPr>
          <w:rFonts w:ascii="Times New Roman" w:cs="Times New Roman" w:eastAsia="Times New Roman" w:hAnsi="Times New Roman"/>
          <w:sz w:val="22"/>
          <w:szCs w:val="22"/>
        </w:rPr>
        <w:t xml:space="preserve">                                                              ...Complainant</w:t>
      </w:r>
    </w:p>
    <w:p>
      <w:pPr>
        <w:spacing w:after="40"/>
        <w:jc w:val="center"/>
      </w:pPr>
      <w:r>
        <w:rPr>
          <w:rFonts w:ascii="Times New Roman" w:cs="Times New Roman" w:eastAsia="Times New Roman" w:hAnsi="Times New Roman"/>
          <w:b/>
          <w:bCs/>
          <w:i w:val="false"/>
          <w:iCs w:val="false"/>
          <w:sz w:val="22"/>
          <w:szCs w:val="22"/>
        </w:rPr>
        <w:t xml:space="preserve">VERSUS</w:t>
      </w:r>
    </w:p>
    <w:p>
      <w:pPr>
        <w:spacing w:after="120"/>
      </w:pPr>
      <w:r>
        <w:rPr>
          <w:rFonts w:ascii="Times New Roman" w:cs="Times New Roman" w:eastAsia="Times New Roman" w:hAnsi="Times New Roman"/>
          <w:b/>
          <w:bCs/>
          <w:sz w:val="22"/>
          <w:szCs w:val="22"/>
        </w:rPr>
        <w:t xml:space="preserve">ACKO General Insurance Limited</w:t>
      </w:r>
      <w:r>
        <w:rPr>
          <w:rFonts w:ascii="Times New Roman" w:cs="Times New Roman" w:eastAsia="Times New Roman" w:hAnsi="Times New Roman"/>
          <w:sz w:val="22"/>
          <w:szCs w:val="22"/>
        </w:rPr>
        <w:t xml:space="preserve">                              ...Opposite Party</w:t>
      </w:r>
    </w:p>
    <w:p>
      <w:pPr>
        <w:spacing w:after="120"/>
        <w:jc w:val="center"/>
      </w:pPr>
      <w:r>
        <w:rPr>
          <w:rFonts w:ascii="Times New Roman" w:cs="Times New Roman" w:eastAsia="Times New Roman" w:hAnsi="Times New Roman"/>
          <w:b/>
          <w:bCs/>
          <w:i w:val="false"/>
          <w:iCs w:val="false"/>
          <w:sz w:val="24"/>
          <w:szCs w:val="24"/>
        </w:rPr>
        <w:t xml:space="preserve">SYNOPSIS</w:t>
      </w:r>
    </w:p>
    <w:p>
      <w:pPr>
        <w:spacing w:after="120" w:line="276" w:lineRule="auto"/>
        <w:jc w:val="both"/>
      </w:pPr>
      <w:r>
        <w:rPr>
          <w:rFonts w:ascii="Times New Roman" w:cs="Times New Roman" w:eastAsia="Times New Roman" w:hAnsi="Times New Roman"/>
          <w:b w:val="false"/>
          <w:bCs w:val="false"/>
          <w:i w:val="false"/>
          <w:iCs w:val="false"/>
          <w:sz w:val="22"/>
          <w:szCs w:val="22"/>
        </w:rPr>
        <w:t xml:space="preserve">1. That the Complainant holds the Opposite Party’s Personal Health Policy No. ASHP202400001607 (sum insured Rs. 10,00,000). In June 2025, more than seven months after the policy commenced, he developed acute obstruction in passing urine along with infection, and underwent an urgent Circumcision and Meatoplasty at RS Maitri Health Care, Ghaziabad on 20.06.2025, the very day of admission, performed by a specialist Urologist. The total hospital expense was Rs. 37,358.</w:t>
      </w:r>
    </w:p>
    <w:p>
      <w:pPr>
        <w:spacing w:after="120" w:line="276" w:lineRule="auto"/>
        <w:jc w:val="both"/>
      </w:pPr>
      <w:r>
        <w:rPr>
          <w:rFonts w:ascii="Times New Roman" w:cs="Times New Roman" w:eastAsia="Times New Roman" w:hAnsi="Times New Roman"/>
          <w:b w:val="false"/>
          <w:bCs w:val="false"/>
          <w:i w:val="false"/>
          <w:iCs w:val="false"/>
          <w:sz w:val="22"/>
          <w:szCs w:val="22"/>
        </w:rPr>
        <w:t xml:space="preserve">2. That the Opposite Party repudiated Claim No. 25062100350/1 on 26.06.2025 citing only the general 2-year “Specific Illnesses” waiting-period clause. It did not name any listed condition, did not obtain any medical opinion, and did not deal with the exception contained in its own clause, namely “Any Surgery of the genitourinary system unless necessitated by malignancy.” A day earlier, on 25.06.2025, it had already stated that the procedure “is not related to a malignancy”, that is, five days before the histopathology report came into existence.</w:t>
      </w:r>
    </w:p>
    <w:p>
      <w:pPr>
        <w:spacing w:after="120" w:line="276" w:lineRule="auto"/>
        <w:jc w:val="both"/>
      </w:pPr>
      <w:r>
        <w:rPr>
          <w:rFonts w:ascii="Times New Roman" w:cs="Times New Roman" w:eastAsia="Times New Roman" w:hAnsi="Times New Roman"/>
          <w:b w:val="false"/>
          <w:bCs w:val="false"/>
          <w:i w:val="false"/>
          <w:iCs w:val="false"/>
          <w:sz w:val="22"/>
          <w:szCs w:val="22"/>
        </w:rPr>
        <w:t xml:space="preserve">3. That the biopsy dated 30.06.2025 confirmed Balanitis Xerotica Obliterans (Lichen Sclerosus), a medically recognised pre-malignant condition, on a suspicious “cauliflower like lesion”. The treating Urologist, Dr. Vaibhav Saxena, M.Ch. (AIIMS), has certified that the surgery “was must”, that BXO is “a pre-malignant condition”, and that without treatment there was a risk of life-threatening infection and penile cancer. The Opposite Party has not produced any contrary medical opinion.</w:t>
      </w:r>
    </w:p>
    <w:p>
      <w:pPr>
        <w:spacing w:after="120" w:line="276" w:lineRule="auto"/>
        <w:jc w:val="both"/>
      </w:pPr>
      <w:r>
        <w:rPr>
          <w:rFonts w:ascii="Times New Roman" w:cs="Times New Roman" w:eastAsia="Times New Roman" w:hAnsi="Times New Roman"/>
          <w:b w:val="false"/>
          <w:bCs w:val="false"/>
          <w:i w:val="false"/>
          <w:iCs w:val="false"/>
          <w:sz w:val="22"/>
          <w:szCs w:val="22"/>
        </w:rPr>
        <w:t xml:space="preserve">4. That the Insurance Ombudsman, Noida, by Award dated 02.07.2026, dismissed the complaint in summary proceedings but recorded that the medical necessity of the procedure is undisputed and that the Permanent Exclusion clause is inapplicable, and granted liberty to approach any other forum. The only question that now remains is whether surgery for a biopsy-confirmed pre-malignant condition falls within the exception “unless necessitated by malignancy”. The evidentiary gap noted by the Ombudsman no longer exists, as the treating specialist’s certificate and standard medical literature are now on record.</w:t>
      </w:r>
    </w:p>
    <w:p>
      <w:pPr>
        <w:spacing w:after="120" w:line="276" w:lineRule="auto"/>
        <w:jc w:val="both"/>
      </w:pPr>
      <w:r>
        <w:rPr>
          <w:rFonts w:ascii="Times New Roman" w:cs="Times New Roman" w:eastAsia="Times New Roman" w:hAnsi="Times New Roman"/>
          <w:b w:val="false"/>
          <w:bCs w:val="false"/>
          <w:i w:val="false"/>
          <w:iCs w:val="false"/>
          <w:sz w:val="22"/>
          <w:szCs w:val="22"/>
        </w:rPr>
        <w:t xml:space="preserve">5. That the repudiation, being unreasoned and contrary to the insurer’s own clause and record, amounts to deficiency in service under Section 2(11) and to unfair trade practice under Section 2(47) of the Consumer Protection Act, 2019. The Complainant seeks Rs. 37,358 with interest at 12% per annum from 26.06.2025, Rs. 1,00,000 as compensation for mental agony and harassment, and Rs. 25,000 towards costs.</w:t>
      </w:r>
    </w:p>
    <w:p>
      <w:pPr>
        <w:spacing w:after="120"/>
        <w:jc w:val="center"/>
      </w:pPr>
      <w:r>
        <w:rPr>
          <w:rFonts w:ascii="Times New Roman" w:cs="Times New Roman" w:eastAsia="Times New Roman" w:hAnsi="Times New Roman"/>
          <w:b/>
          <w:bCs/>
          <w:i w:val="false"/>
          <w:iCs w:val="false"/>
          <w:sz w:val="24"/>
          <w:szCs w:val="24"/>
        </w:rPr>
        <w:t xml:space="preserve">LIST OF DATES AND EVENTS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600"/>
        <w:gridCol w:w="1400"/>
      </w:tblGrid>
      <w:tr>
        <w:trPr>
          <w:tblHeader/>
        </w:trPr>
        <w:tc>
          <w:tcPr>
            <w:tcW w:type="dxa" w:w="1500"/>
            <w:tcBorders>
              <w:top w:val="single" w:sz="4"/>
              <w:left w:val="single" w:sz="4"/>
              <w:bottom w:val="single" w:sz="4"/>
              <w:right w:val="single" w:sz="4"/>
            </w:tcBorders>
            <w:shd w:fill="D9D9D9" w:val="clear"/>
            <w:tcMar>
              <w:top w:type="dxa" w:w="40"/>
              <w:left w:type="dxa" w:w="90"/>
              <w:bottom w:type="dxa" w:w="40"/>
              <w:right w:type="dxa" w:w="90"/>
            </w:tcMar>
          </w:tcPr>
          <w:p>
            <w:pPr>
              <w:spacing w:after="0" w:line="264" w:lineRule="auto"/>
            </w:pPr>
            <w:r>
              <w:rPr>
                <w:rFonts w:ascii="Times New Roman" w:cs="Times New Roman" w:eastAsia="Times New Roman" w:hAnsi="Times New Roman"/>
                <w:b/>
                <w:bCs/>
                <w:sz w:val="20"/>
                <w:szCs w:val="20"/>
              </w:rPr>
              <w:t xml:space="preserve">Date</w:t>
            </w:r>
          </w:p>
        </w:tc>
        <w:tc>
          <w:tcPr>
            <w:tcW w:type="dxa" w:w="6600"/>
            <w:tcBorders>
              <w:top w:val="single" w:sz="4"/>
              <w:left w:val="single" w:sz="4"/>
              <w:bottom w:val="single" w:sz="4"/>
              <w:right w:val="single" w:sz="4"/>
            </w:tcBorders>
            <w:shd w:fill="D9D9D9" w:val="clear"/>
            <w:tcMar>
              <w:top w:type="dxa" w:w="40"/>
              <w:left w:type="dxa" w:w="90"/>
              <w:bottom w:type="dxa" w:w="40"/>
              <w:right w:type="dxa" w:w="90"/>
            </w:tcMar>
          </w:tcPr>
          <w:p>
            <w:pPr>
              <w:spacing w:after="0" w:line="264" w:lineRule="auto"/>
            </w:pPr>
            <w:r>
              <w:rPr>
                <w:rFonts w:ascii="Times New Roman" w:cs="Times New Roman" w:eastAsia="Times New Roman" w:hAnsi="Times New Roman"/>
                <w:b/>
                <w:bCs/>
                <w:sz w:val="20"/>
                <w:szCs w:val="20"/>
              </w:rPr>
              <w:t xml:space="preserve">Event</w:t>
            </w:r>
          </w:p>
        </w:tc>
        <w:tc>
          <w:tcPr>
            <w:tcW w:type="dxa" w:w="1400"/>
            <w:tcBorders>
              <w:top w:val="single" w:sz="4"/>
              <w:left w:val="single" w:sz="4"/>
              <w:bottom w:val="single" w:sz="4"/>
              <w:right w:val="single" w:sz="4"/>
            </w:tcBorders>
            <w:shd w:fill="D9D9D9" w:val="clear"/>
            <w:tcMar>
              <w:top w:type="dxa" w:w="40"/>
              <w:left w:type="dxa" w:w="90"/>
              <w:bottom w:type="dxa" w:w="40"/>
              <w:right w:type="dxa" w:w="90"/>
            </w:tcMar>
          </w:tcPr>
          <w:p>
            <w:pPr>
              <w:spacing w:after="0" w:line="264" w:lineRule="auto"/>
            </w:pPr>
            <w:r>
              <w:rPr>
                <w:rFonts w:ascii="Times New Roman" w:cs="Times New Roman" w:eastAsia="Times New Roman" w:hAnsi="Times New Roman"/>
                <w:b/>
                <w:bCs/>
                <w:sz w:val="20"/>
                <w:szCs w:val="20"/>
              </w:rPr>
              <w:t xml:space="preserve">Annexure</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04.11.2024</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ACKO Personal Health Policy (Standard Plan, Family Floater) No. ASHP202400001607 issued after underwriting; Sum Insured Rs. 10,00,000; premium Rs. 31,065 p.a.; period 04.11.2024 to 03.11.2025. Proposal Form records “No medical conditions”; only PED declared, Obesity. Policy Schedule records “Permanent disease exclusion: No exclusion”.</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 C-2</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Nov 2024 to Jun 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All premium instalments paid on time; policy continuously in force.</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C-3</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20.06.2025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Complainant admitted to RS Maitri Health Care, Ghaziabad at 06:58 hrs with acute urinary obstruction (“POOR FLOW OF URINE”) and infection; Circumcision and Meatoplasty performed the same day under spinal anaesthesia by Dr. Vaibhav Saxena, M.Ch. (Urology); IV fluids and IV antibiotics administered; excised tissue sent for histopathology.</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C-4</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21.06.2025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Discharged in stable condition; total hospital expenses Rs. 37,358, paid by the Complainant. Reimbursement Claim No. 25062100350/1 lodged.</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C-4, C-5, C-6</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24.06.2025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Detailed representation and grievance sent to the Opposite Party (Ticket 12568674).</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C-6</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25.06.2025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“Update on Your Claim” e-mail rejects the claim, asserting that the procedure “is not related to a malignancy”, five days before the histopathology report existed; the GRO rejects the representation in the same terms.</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C-7</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26.06.2025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Claim formally repudiated citing only the general “Specific Illnesses” 2-year waiting-period clause, without naming any listed condition and without dealing with the exception “unless necessitated by malignancy” contained in it.</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C-8</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30.06.2025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Histopathology Report, Max Lab, No. V-6630/25: gross “cauliflower like lesion 3.5 x 3 x 0.8 cm”; Impression: “Consistent with Lichen sclerosus (balanitis xerotica obliterans)”, a recognised pre-malignant condition.</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C-9</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Jul to Aug 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Appeals and grievances to the Opposite Party (Tickets 12582411, 12582412), all rejected without dealing with the medical evidence.</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C-10 (colly.)</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07.08.2025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Complaint filed before the Insurance Ombudsman, Noida (NOI-H-056-2526-0961).</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C-11</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30.08.2025</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Opposite Party itself renews the policy as No. ASHP202400001607R1 (04.11.2025 to 03.11.2026; Sum Insured Rs. 11,00,000), recording “First policy inception date: 04/11/2024”.</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 (colly.)</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24.06.2026</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Personal hearing before the Insurance Ombudsman.</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C-11</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02.07.2026</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Ombudsman Award IO/NOI/A/HI/0061/2026-2027: complaint dismissed, but paras 13 and 14 hold medical necessity undisputed and the Permanent Exclusion inapplicable; the forwarding letter grants liberty to approach any other forum.</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C-11</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12.07.2026</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Treating Urologist’s Medical Certificate: surgery “was must” in view of inability to pass urine and UTI; biopsy confirmed BXO, “a pre-malignant condition”; risk of life-threatening infection and penile cancer if not treated.</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C-12</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14.07.2026</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Grievance registered on the National Consumer Helpline (INGRAM) portal, Grievance No. 9719631 (in process).</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C-10 (colly.)</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15.07.2026</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Opposite Party’s GRO replies, reiterating the “waiting period” ground of 26.06.2025 without adverting to the biopsy report, the treating doctor’s certificate, or the Ombudsman’s findings.</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C-10 (colly.)</w:t>
            </w:r>
          </w:p>
        </w:tc>
      </w:tr>
      <w:tr>
        <w:trPr>
          <w:tblHeader w:val="false"/>
        </w:trPr>
        <w:tc>
          <w:tcPr>
            <w:tcW w:type="dxa" w:w="15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____.____.2026</w:t>
            </w:r>
          </w:p>
        </w:tc>
        <w:tc>
          <w:tcPr>
            <w:tcW w:type="dxa" w:w="66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Present complaint filed before this Hon’ble Commission.</w:t>
            </w:r>
          </w:p>
        </w:tc>
        <w:tc>
          <w:tcPr>
            <w:tcW w:type="dxa" w:w="1400"/>
            <w:tcBorders>
              <w:top w:val="single" w:sz="4"/>
              <w:left w:val="single" w:sz="4"/>
              <w:bottom w:val="single" w:sz="4"/>
              <w:right w:val="single" w:sz="4"/>
            </w:tcBorders>
            <w:tcMar>
              <w:top w:type="dxa" w:w="40"/>
              <w:left w:type="dxa" w:w="90"/>
              <w:bottom w:type="dxa" w:w="40"/>
              <w:right w:type="dxa" w:w="90"/>
            </w:tcMar>
          </w:tcPr>
          <w:p>
            <w:pPr>
              <w:spacing w:after="0" w:line="264" w:lineRule="auto"/>
            </w:pPr>
            <w:r>
              <w:rPr>
                <w:rFonts w:ascii="Times New Roman" w:cs="Times New Roman" w:eastAsia="Times New Roman" w:hAnsi="Times New Roman"/>
                <w:b w:val="false"/>
                <w:bCs w:val="false"/>
                <w:sz w:val="20"/>
                <w:szCs w:val="20"/>
              </w:rPr>
              <w:t xml:space="preserve">—</w:t>
            </w:r>
          </w:p>
        </w:tc>
      </w:tr>
    </w:tbl>
    <w:p>
      <w:pPr>
        <w:spacing w:after="40"/>
      </w:pPr>
      <w:r>
        <w:rPr>
          <w:rFonts w:ascii="Times New Roman" w:cs="Times New Roman" w:eastAsia="Times New Roman" w:hAnsi="Times New Roman"/>
          <w:b w:val="false"/>
          <w:bCs w:val="false"/>
          <w:sz w:val="22"/>
          <w:szCs w:val="22"/>
        </w:rPr>
        <w:t xml:space="preserve">Place: Ghaziabad</w:t>
      </w:r>
    </w:p>
    <w:p>
      <w:pPr>
        <w:spacing w:after="160"/>
      </w:pPr>
      <w:r>
        <w:rPr>
          <w:rFonts w:ascii="Times New Roman" w:cs="Times New Roman" w:eastAsia="Times New Roman" w:hAnsi="Times New Roman"/>
          <w:b w:val="false"/>
          <w:bCs w:val="false"/>
          <w:sz w:val="22"/>
          <w:szCs w:val="22"/>
        </w:rPr>
        <w:t xml:space="preserve">Date: ____ July 2026</w:t>
      </w:r>
    </w:p>
    <w:p>
      <w:pPr>
        <w:spacing w:after="0"/>
        <w:jc w:val="right"/>
      </w:pPr>
      <w:r>
        <w:rPr>
          <w:rFonts w:ascii="Times New Roman" w:cs="Times New Roman" w:eastAsia="Times New Roman" w:hAnsi="Times New Roman"/>
          <w:b/>
          <w:bCs/>
          <w:sz w:val="22"/>
          <w:szCs w:val="22"/>
        </w:rPr>
        <w:t xml:space="preserve">COMPLAINANT</w:t>
      </w:r>
    </w:p>
    <w:p>
      <w:pPr>
        <w:spacing w:after="0"/>
        <w:jc w:val="right"/>
      </w:pPr>
      <w:r>
        <w:rPr>
          <w:rFonts w:ascii="Times New Roman" w:cs="Times New Roman" w:eastAsia="Times New Roman" w:hAnsi="Times New Roman"/>
          <w:b w:val="false"/>
          <w:bCs w:val="false"/>
          <w:sz w:val="22"/>
          <w:szCs w:val="22"/>
        </w:rPr>
        <w:t xml:space="preserve">(Vikas Gandhi)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2026-07-25T12:29:08.499Z</dcterms:created>
  <dcterms:modified xsi:type="dcterms:W3CDTF">2026-07-25T12:29:08.499Z</dcterms:modified>
</cp:coreProperties>
</file>

<file path=docProps/custom.xml><?xml version="1.0" encoding="utf-8"?>
<Properties xmlns="http://schemas.openxmlformats.org/officeDocument/2006/custom-properties" xmlns:vt="http://schemas.openxmlformats.org/officeDocument/2006/docPropsVTypes"/>
</file>