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S/o Shri Surendra Gandhi, 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r>
        <w:tc>
          <w:tcPr>
            <w:tcW w:type="dxa" w:w="3000"/>
          </w:tcPr>
          <w:p>
            <w:r/>
            <w:r>
              <w:rPr>
                <w:rFonts w:ascii="Times New Roman" w:hAnsi="Times New Roman" w:cs="Nirmala UI" w:eastAsia="Times New Roman"/>
                <w:b w:val="0"/>
                <w:i w:val="0"/>
                <w:sz w:val="20"/>
              </w:rPr>
              <w:t>14.07.2026</w:t>
            </w:r>
          </w:p>
        </w:tc>
        <w:tc>
          <w:tcPr>
            <w:tcW w:type="dxa" w:w="3000"/>
          </w:tcPr>
          <w:p>
            <w:r/>
            <w:r>
              <w:rPr>
                <w:rFonts w:ascii="Times New Roman" w:hAnsi="Times New Roman" w:cs="Nirmala UI" w:eastAsia="Times New Roman"/>
                <w:b w:val="0"/>
                <w:i w:val="0"/>
                <w:sz w:val="20"/>
              </w:rPr>
              <w:t>Grievance registered on the National Consumer Helpline (INGRAM) portal against the repudiation — Grievance No. 9719631 (status: in process)</w:t>
            </w:r>
          </w:p>
        </w:tc>
        <w:tc>
          <w:tcPr>
            <w:tcW w:type="dxa" w:w="3000"/>
          </w:tcPr>
          <w:p>
            <w:r/>
            <w:r>
              <w:rPr>
                <w:rFonts w:ascii="Times New Roman" w:hAnsi="Times New Roman" w:cs="Nirmala UI" w:eastAsia="Times New Roman"/>
                <w:b w:val="0"/>
                <w:i w:val="0"/>
                <w:sz w:val="20"/>
              </w:rPr>
              <w:t>Annexure C-10 (colly.)</w:t>
            </w:r>
          </w:p>
        </w:tc>
      </w:tr>
      <w:tr>
        <w:tc>
          <w:tcPr>
            <w:tcW w:type="dxa" w:w="3000"/>
          </w:tcPr>
          <w:p>
            <w:r>
              <w:t>15.07.2026</w:t>
            </w:r>
          </w:p>
        </w:tc>
        <w:tc>
          <w:tcPr>
            <w:tcW w:type="dxa" w:w="3000"/>
          </w:tcPr>
          <w:p>
            <w:r>
              <w:t>Opposite Party's Grievance Redressal Officer replies by email, reiterating verbatim the very “waiting period” ground of 26.06.2025 — once again without identifying any listed condition in the Schedule, and without adverting to the biopsy report, the treating doctor's certificate dated 12.07.2026, or the Ombudsman's findings in paras 13–14 of the Award</w:t>
            </w:r>
          </w:p>
        </w:tc>
        <w:tc>
          <w:tcPr>
            <w:tcW w:type="dxa" w:w="3000"/>
          </w:tcPr>
          <w:p>
            <w:r>
              <w:t>Annexure C-10 (colly.)</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cauliflower like lesion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line="360" w:lineRule="auto"/>
        <w:jc w:val="both"/>
      </w:pPr>
      <w:r>
        <w:rPr>
          <w:rFonts w:ascii="Times New Roman" w:hAnsi="Times New Roman" w:cs="Nirmala UI" w:eastAsia="Times New Roman"/>
          <w:b/>
          <w:i w:val="0"/>
          <w:sz w:val="24"/>
        </w:rPr>
        <w:t xml:space="preserve">10-A. Plain meaning of the medical terms (for ready reference of this Hon’ble Commission).</w:t>
      </w:r>
      <w:r>
        <w:rPr>
          <w:rFonts w:ascii="Times New Roman" w:hAnsi="Times New Roman" w:cs="Nirmala UI" w:eastAsia="Times New Roman"/>
          <w:b w:val="0"/>
          <w:i w:val="0"/>
          <w:sz w:val="24"/>
        </w:rPr>
        <w:t xml:space="preserve"> The conditions recorded in the Complainant’s own hospital and laboratory documents are, in ordinary language, the following: (a) </w:t>
      </w:r>
      <w:r>
        <w:rPr>
          <w:rFonts w:ascii="Times New Roman" w:hAnsi="Times New Roman" w:cs="Nirmala UI" w:eastAsia="Times New Roman"/>
          <w:b/>
          <w:i w:val="0"/>
          <w:sz w:val="24"/>
        </w:rPr>
        <w:t xml:space="preserve">Phimosis</w:t>
      </w:r>
      <w:r>
        <w:rPr>
          <w:rFonts w:ascii="Times New Roman" w:hAnsi="Times New Roman" w:cs="Nirmala UI" w:eastAsia="Times New Roman"/>
          <w:b w:val="0"/>
          <w:i w:val="0"/>
          <w:sz w:val="24"/>
        </w:rPr>
        <w:t xml:space="preserve"> is an abnormal tightening of the foreskin which prevents its normal retraction and, in its severe form, obstructs the free passage of urine; (b) </w:t>
      </w:r>
      <w:r>
        <w:rPr>
          <w:rFonts w:ascii="Times New Roman" w:hAnsi="Times New Roman" w:cs="Nirmala UI" w:eastAsia="Times New Roman"/>
          <w:b/>
          <w:i w:val="0"/>
          <w:sz w:val="24"/>
        </w:rPr>
        <w:t xml:space="preserve">Balanitis</w:t>
      </w:r>
      <w:r>
        <w:rPr>
          <w:rFonts w:ascii="Times New Roman" w:hAnsi="Times New Roman" w:cs="Nirmala UI" w:eastAsia="Times New Roman"/>
          <w:b w:val="0"/>
          <w:i w:val="0"/>
          <w:sz w:val="24"/>
        </w:rPr>
        <w:t xml:space="preserve"> is an active inflammation and infection of the glans and foreskin; (c) </w:t>
      </w:r>
      <w:r>
        <w:rPr>
          <w:rFonts w:ascii="Times New Roman" w:hAnsi="Times New Roman" w:cs="Nirmala UI" w:eastAsia="Times New Roman"/>
          <w:b/>
          <w:i w:val="0"/>
          <w:sz w:val="24"/>
        </w:rPr>
        <w:t xml:space="preserve">Meatal stenosis</w:t>
      </w:r>
      <w:r>
        <w:rPr>
          <w:rFonts w:ascii="Times New Roman" w:hAnsi="Times New Roman" w:cs="Nirmala UI" w:eastAsia="Times New Roman"/>
          <w:b w:val="0"/>
          <w:i w:val="0"/>
          <w:sz w:val="24"/>
        </w:rPr>
        <w:t xml:space="preserve"> is a narrowing of the urinary opening which further obstructs the flow of urine; and (d) </w:t>
      </w:r>
      <w:r>
        <w:rPr>
          <w:rFonts w:ascii="Times New Roman" w:hAnsi="Times New Roman" w:cs="Nirmala UI" w:eastAsia="Times New Roman"/>
          <w:b/>
          <w:i w:val="0"/>
          <w:sz w:val="24"/>
        </w:rPr>
        <w:t xml:space="preserve">Balanitis Xerotica Obliterans (BXO)</w:t>
      </w:r>
      <w:r>
        <w:rPr>
          <w:rFonts w:ascii="Times New Roman" w:hAnsi="Times New Roman" w:cs="Nirmala UI" w:eastAsia="Times New Roman"/>
          <w:b w:val="0"/>
          <w:i w:val="0"/>
          <w:sz w:val="24"/>
        </w:rPr>
        <w:t xml:space="preserve">, also called genital </w:t>
      </w:r>
      <w:r>
        <w:rPr>
          <w:rFonts w:ascii="Times New Roman" w:hAnsi="Times New Roman" w:cs="Nirmala UI" w:eastAsia="Times New Roman"/>
          <w:b/>
          <w:i w:val="0"/>
          <w:sz w:val="24"/>
        </w:rPr>
        <w:t xml:space="preserve">Lichen Sclerosus</w:t>
      </w:r>
      <w:r>
        <w:rPr>
          <w:rFonts w:ascii="Times New Roman" w:hAnsi="Times New Roman" w:cs="Nirmala UI" w:eastAsia="Times New Roman"/>
          <w:b w:val="0"/>
          <w:i w:val="0"/>
          <w:sz w:val="24"/>
        </w:rPr>
        <w:t xml:space="preserve">, is a chronic scarring disease of the foreskin that is medically recognised as a </w:t>
      </w:r>
      <w:r>
        <w:rPr>
          <w:rFonts w:ascii="Times New Roman" w:hAnsi="Times New Roman" w:cs="Nirmala UI" w:eastAsia="Times New Roman"/>
          <w:b/>
          <w:i w:val="0"/>
          <w:sz w:val="24"/>
        </w:rPr>
        <w:t xml:space="preserve">pre-malignant (pre-cancerous)</w:t>
      </w:r>
      <w:r>
        <w:rPr>
          <w:rFonts w:ascii="Times New Roman" w:hAnsi="Times New Roman" w:cs="Nirmala UI" w:eastAsia="Times New Roman"/>
          <w:b w:val="0"/>
          <w:i w:val="0"/>
          <w:sz w:val="24"/>
        </w:rPr>
        <w:t xml:space="preserve"> condition — that is, a condition carrying a known risk of progressing to cancer of the penis if it is not treated. None of these is a cosmetic complaint; each is an organic disease recorded contemporaneously by the treating hospital, and together they explain why urgent surgery was undertaken on the very day of admission.</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was suffering from Phimosis with Balanitis with meatal stenosis &amp; UTI. His surgery was must in view of unable to pass urine &amp; UTI. His Preputial Biopsy came out to be (BXO) which is a pre-malignant condition &amp; not any elective or cosmetic surgery. There is life threatening infection risk &amp; risk of penile cancer if not treated…"</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line="360" w:lineRule="auto"/>
        <w:jc w:val="both"/>
      </w:pPr>
      <w:r>
        <w:rPr>
          <w:rFonts w:ascii="Times New Roman" w:hAnsi="Times New Roman" w:cs="Nirmala UI" w:eastAsia="Times New Roman"/>
          <w:b/>
          <w:i w:val="0"/>
          <w:sz w:val="24"/>
        </w:rPr>
        <w:t xml:space="preserve">13-A. The evidentiary position is entirely one-sided.</w:t>
      </w:r>
      <w:r>
        <w:rPr>
          <w:rFonts w:ascii="Times New Roman" w:hAnsi="Times New Roman" w:cs="Nirmala UI" w:eastAsia="Times New Roman"/>
          <w:b w:val="0"/>
          <w:i w:val="0"/>
          <w:sz w:val="24"/>
        </w:rPr>
        <w:t xml:space="preserve"> On one side stands the written, reasoned certificate of the very super-specialist who admitted, operated upon and personally followed up the Complainant, corroborated by the contemporaneous Discharge Summary (Annexure C-4), the laboratory Histopathology Report (Annexure C-9) and standard medical literature (Annexure C-13). On the other side there is nothing at all: the Opposite Party has not, at any stage — claim, grievance, or before the Ombudsman — placed on record the opinion of any doctor, any second medical opinion, any reference to a Medical Board, or any reasoned medical analysis of the biopsy. In a medical-claim dispute the unrebutted opinion of the treating specialist ordinarily carries the highest evidentiary value, and an insurer that seeks to displace it carries the burden of producing contrary medical material of at least equal authority. That burden has not merely gone undischarged; it has not even been attempted.</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line="360" w:lineRule="auto"/>
        <w:jc w:val="both"/>
      </w:pPr>
      <w:r>
        <w:rPr>
          <w:rFonts w:ascii="Times New Roman" w:hAnsi="Times New Roman" w:cs="Nirmala UI" w:eastAsia="Times New Roman"/>
          <w:b w:val="0"/>
          <w:i w:val="0"/>
          <w:sz w:val="24"/>
        </w:rPr>
        <w:t xml:space="preserve">16-A. Indeed, the Opposite Party has itself </w:t>
      </w:r>
      <w:r>
        <w:rPr>
          <w:rFonts w:ascii="Times New Roman" w:hAnsi="Times New Roman" w:cs="Nirmala UI" w:eastAsia="Times New Roman"/>
          <w:b/>
          <w:i w:val="0"/>
          <w:sz w:val="24"/>
        </w:rPr>
        <w:t>renewed</w:t>
      </w:r>
      <w:r>
        <w:rPr>
          <w:rFonts w:ascii="Times New Roman" w:hAnsi="Times New Roman" w:cs="Nirmala UI" w:eastAsia="Times New Roman"/>
          <w:b w:val="0"/>
          <w:i w:val="0"/>
          <w:sz w:val="24"/>
        </w:rPr>
        <w:t xml:space="preserve"> the policy as Policy No. ASHP202400001607R1 for the period 04.11.2025–03.11.2026 (Sum Insured ₹11,00,000 including inflation-protection bonus; premium ₹36,656.86 — Annexure C-1 colly.). The renewal document records "</w:t>
      </w:r>
      <w:r>
        <w:rPr>
          <w:rFonts w:ascii="Times New Roman" w:hAnsi="Times New Roman" w:cs="Nirmala UI" w:eastAsia="Times New Roman"/>
          <w:b/>
          <w:i w:val="0"/>
          <w:sz w:val="24"/>
        </w:rPr>
        <w:t>First policy inception date: 04/11/2024</w:t>
      </w:r>
      <w:r>
        <w:rPr>
          <w:rFonts w:ascii="Times New Roman" w:hAnsi="Times New Roman" w:cs="Nirmala UI" w:eastAsia="Times New Roman"/>
          <w:b w:val="0"/>
          <w:i w:val="0"/>
          <w:sz w:val="24"/>
        </w:rPr>
        <w:t>" and "Existing user: Yes". The insurer thus continues to accept the Complainant's premium and treats the cover as continuous from 04.11.2024 — even while refusing the only claim ever made under it.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 xml:space="preserve">CHAPTER VII-A — THE REPUDIATION FAILED THE DUTY TO PASS A REASONED, SPEAKING DECISION</w:t>
      </w:r>
    </w:p>
    <w:p>
      <w:pPr>
        <w:spacing w:line="360" w:lineRule="auto"/>
        <w:jc w:val="both"/>
      </w:pPr>
      <w:r>
        <w:rPr>
          <w:rFonts w:ascii="Times New Roman" w:hAnsi="Times New Roman" w:cs="Nirmala UI" w:eastAsia="Times New Roman"/>
          <w:b w:val="0"/>
          <w:i w:val="0"/>
          <w:sz w:val="24"/>
        </w:rPr>
        <w:t xml:space="preserve">19-A. It is a settled incident of fair dealing, and of the insurer’s obligation of utmost good faith, that the repudiation of a health claim must be a reasoned, “speaking” decision. Such a decision must (i) identify the specific policy condition relied upon; (ii) apply that condition to the specific medical facts of the case; and (iii) deal with the material evidence placed on record by the insured. A rejection that merely reproduces the text of a clause — without naming the listed illness said to attract it, and without engaging with the biopsy, the treating specialist’s certificate, or the exception written into the very same clause — is not an application of mind; it is a template.</w:t>
      </w:r>
    </w:p>
    <w:p>
      <w:pPr>
        <w:spacing w:line="360" w:lineRule="auto"/>
        <w:jc w:val="both"/>
      </w:pPr>
      <w:r>
        <w:rPr>
          <w:rFonts w:ascii="Times New Roman" w:hAnsi="Times New Roman" w:cs="Nirmala UI" w:eastAsia="Times New Roman"/>
          <w:b w:val="0"/>
          <w:i w:val="0"/>
          <w:sz w:val="24"/>
        </w:rPr>
        <w:t xml:space="preserve">19-B. The record discloses precisely such a template. The rejection e-mail dated 25.06.2025, the repudiation dated 26.06.2025, and the Grievance Redressal Officer’s reply dated 15.07.2026 are, in substance, identical: each recites the general “Specific Illnesses” waiting period; none identifies any listed condition in the Schedule; none refers to the Histopathology Report; none refers to the treating super-specialist’s certificate; and none refers to the Ombudsman’s findings in paras 13–14 of the Award. A process that repeats the same unreasoned conclusion at three successive stages, in the teeth of the medical record, is itself a distinct and independent deficiency in service, quite apart from the ultimate merits of the claim.</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it is not disputed that the procedure was medically necessary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would not be covered under the Permanent Exclusion clause 4.2.3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line="360" w:lineRule="auto"/>
        <w:jc w:val="both"/>
      </w:pPr>
      <w:r>
        <w:rPr>
          <w:rFonts w:ascii="Times New Roman" w:hAnsi="Times New Roman" w:cs="Nirmala UI" w:eastAsia="Times New Roman"/>
          <w:b/>
          <w:i w:val="0"/>
          <w:sz w:val="24"/>
        </w:rPr>
        <w:t xml:space="preserve">28-A. Particulars of the deficiency.</w:t>
      </w:r>
      <w:r>
        <w:rPr>
          <w:rFonts w:ascii="Times New Roman" w:hAnsi="Times New Roman" w:cs="Nirmala UI" w:eastAsia="Times New Roman"/>
          <w:b w:val="0"/>
          <w:i w:val="0"/>
          <w:sz w:val="24"/>
        </w:rPr>
        <w:t xml:space="preserve"> The deficiency in service consists not of a single act but of a continuing course of conduct. In particular, the Opposite Party: (a) repudiated the claim without ever examining the biopsy report; (b) obtained no medical opinion of its own at any stage; (c) failed to apply the express exception “unless necessitated by malignancy” contained in the very clause it invoked; (d) pronounced, on 25.06.2025, a medical conclusion (“not related to a malignancy”) five days before the Histopathology Report of 30.06.2025 even existed; (e) failed to disclose, even before the Ombudsman, the specific sub-clause said to bar the claim; and (f) reiterated the same unreasoned ground across the claim, grievance and post-Award stages, thereby causing the Complainant financial loss and prolonged mental agony across more than a year and three successive fora. Each of these, and certainly their cumulative effect, amounts to deficiency in service under Section 2(11) and to an unfair trade practice under Section 2(47) of the Consumer Protection Act, 2019.</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 xml:space="preserve">CHAPTER XI-A — SUMMARY OF THE COMPLAINANT’S CASE ON THE DOCUMENTS</w:t>
      </w:r>
    </w:p>
    <w:p>
      <w:pPr>
        <w:spacing w:line="360" w:lineRule="auto"/>
        <w:jc w:val="both"/>
      </w:pPr>
      <w:r>
        <w:rPr>
          <w:rFonts w:ascii="Times New Roman" w:hAnsi="Times New Roman" w:cs="Nirmala UI" w:eastAsia="Times New Roman"/>
          <w:b w:val="0"/>
          <w:i w:val="0"/>
          <w:sz w:val="24"/>
        </w:rPr>
        <w:t xml:space="preserve">29-A. For convenience, the Complainant’s case rests, at every step, on a document already on record and not on any oral assertion: (i) a live, fully paid policy with “no exclusion” recorded in its own Schedule (Annexure C-1) and “no medical conditions” declared in the Proposal Form accepted after underwriting (Annexure C-2); (ii) an acute, documented illness and an emergency, same-day surgery (Annexure C-4); (iii) a biopsy confirming a pre-malignant condition (Annexure C-9); (iv) the written certificate of the treating uro-oncologist that the surgery “was must” and that untreated BXO carried a risk of penile cancer (Annexure C-12), supported by standard medical literature (Annexure C-13); (v) the insurer’s own clause carving out surgery “necessitated by malignancy” from the waiting period (Annexure C-1); and (vi) the Ombudsman’s own finding that medical necessity is undisputed and the Permanent Exclusion inapplicable (Annexure C-11). Against this record the Opposite Party has placed no medical material whatsoever. The controversy is thus narrow, and the documents resolve it in the Complainant’s favour.</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