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4E79"/>
      </w:pPr>
      <w:r>
        <w:rPr>
          <w:rFonts w:ascii="Mangal" w:hAnsi="Mangal" w:cs="Mangal"/>
          <w:rFonts w:ascii="Mangal" w:hAnsi="Mangal"/>
          <w:b/>
          <w:color w:val="FFFFFF"/>
          <w:sz w:val="30"/>
        </w:rPr>
        <w:t>बीमा लोकपाल (Insurance Ombudsman) — शिकायत प्रस्तुति पत्र</w:t>
      </w:r>
    </w:p>
    <w:p>
      <w:pPr>
        <w:jc w:val="center"/>
        <w:shd w:val="clear" w:color="auto" w:fill="2E75B6"/>
      </w:pPr>
      <w:r>
        <w:rPr>
          <w:rFonts w:ascii="Mangal" w:hAnsi="Mangal" w:cs="Mangal"/>
          <w:rFonts w:ascii="Mangal" w:hAnsi="Mangal"/>
          <w:b/>
          <w:color w:val="FFFFFF"/>
          <w:sz w:val="24"/>
        </w:rPr>
        <w:t>ACKO General Insurance द्वारा Health Claim की गलत अस्वीकृति के विरुद्ध</w:t>
      </w:r>
    </w:p>
    <w:p>
      <w:pPr>
        <w:spacing w:after="40"/>
      </w:pPr>
    </w:p>
    <w:p>
      <w:pPr>
        <w:jc w:val="left"/>
        <w:shd w:val="clear" w:color="auto" w:fill="D6E4F0"/>
      </w:pPr>
      <w:r>
        <w:rPr>
          <w:rFonts w:ascii="Mangal" w:hAnsi="Mangal" w:cs="Mangal"/>
          <w:rFonts w:ascii="Mangal" w:hAnsi="Mangal"/>
          <w:b/>
          <w:color w:val="1F4E79"/>
          <w:sz w:val="26"/>
        </w:rPr>
        <w:t>1.  मामले का विवरण (Case Details)</w:t>
      </w:r>
    </w:p>
    <w:tbl>
      <w:tblPr>
        <w:tblStyle w:val="TableGrid"/>
        <w:tblW w:type="auto" w:w="0"/>
        <w:jc w:val="center"/>
        <w:tblLook w:firstColumn="1" w:firstRow="1" w:lastColumn="0" w:lastRow="0" w:noHBand="0" w:noVBand="1" w:val="04A0"/>
      </w:tblPr>
      <w:tblGrid>
        <w:gridCol w:w="3402"/>
        <w:gridCol w:w="5669"/>
      </w:tblGrid>
      <w:tr>
        <w:tc>
          <w:tcPr>
            <w:tcW w:type="dxa" w:w="3402"/>
            <w:shd w:val="clear" w:color="auto" w:fill="1F4E79"/>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color w:val="FFFFFF"/>
                <w:sz w:val="20"/>
              </w:rPr>
              <w:t>विषय</w:t>
            </w:r>
          </w:p>
        </w:tc>
        <w:tc>
          <w:tcPr>
            <w:tcW w:type="dxa" w:w="5669"/>
            <w:shd w:val="clear" w:color="auto" w:fill="1F4E79"/>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color w:val="FFFFFF"/>
                <w:sz w:val="20"/>
              </w:rPr>
              <w:t>विवरण</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Policy (पॉलिसी) संख्या</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ASHP202400001607</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Claim (दावा) संख्या</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25062100350/1</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Ombudsman Complaint (लोकपाल शिकायत) संख्या</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NOI-H-056-2526-0961</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बीमाधारक का नाम</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विकास गांधी</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पता</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D-20, प्रथम तल, दयानंद नगर, गाजियाबाद, उत्तर प्रदेश – 201001</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Hospitalization (अस्पताल में भर्ती) दिनांक</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20 जून 2025 (भर्ती) – 21 जून 2025 (छुट्टी)</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Diagnosis (रोग-निदान)</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Tight Phimosis (कसा हुआ चमड़ी संकुचन) + Balanitis (शिश्न की सूजन) + Meatal Stenosis (मूत्रमार्ग का सिकुड़ना)</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Surgery (शल्य-चिकित्सा)</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Circumcision (खतना) + Meatoplasty (मूत्रमार्ग विस्तार शल्यक्रिया)</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Biopsy (ऊतक-परीक्षण) निष्कर्ष</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Lichen Sclerosus / Balanitis Xerotica Obliterans — घातक रोग (Cancer) से मुक्त</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Claim (दावा) राशि</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₹37,358</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ACKO द्वारा Rejection (अस्वीकृति) दिनांक</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26 जून 2025 (प्रथम) / 2 जुलाई 2025 (अंतिम)</w:t>
            </w:r>
          </w:p>
        </w:tc>
      </w:tr>
      <w:tr>
        <w:tc>
          <w:tcPr>
            <w:tcW w:type="dxa" w:w="3402"/>
            <w:shd w:val="clear" w:color="auto" w:fill="D6E4F0"/>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माँगी गई राहत</w:t>
            </w:r>
          </w:p>
        </w:tc>
        <w:tc>
          <w:tcPr>
            <w:tcW w:type="dxa" w:w="5669"/>
            <w:shd w:val="clear" w:color="auto" w:fill="EAF4FB"/>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₹37,358 (Reimbursement / प्रतिपूर्ति) + ₹10,000 (Mental Agony / मानसिक पीड़ा हेतु क्षतिपूर्ति)</w:t>
            </w:r>
          </w:p>
        </w:tc>
      </w:tr>
    </w:tbl>
    <w:p>
      <w:pPr>
        <w:spacing w:after="80"/>
      </w:pPr>
    </w:p>
    <w:p>
      <w:pPr>
        <w:jc w:val="left"/>
        <w:shd w:val="clear" w:color="auto" w:fill="D6E4F0"/>
      </w:pPr>
      <w:r>
        <w:rPr>
          <w:rFonts w:ascii="Mangal" w:hAnsi="Mangal" w:cs="Mangal"/>
          <w:rFonts w:ascii="Mangal" w:hAnsi="Mangal"/>
          <w:b/>
          <w:color w:val="1F4E79"/>
          <w:sz w:val="26"/>
        </w:rPr>
        <w:t>2.  ACKO का गलत तर्क क्या था?</w:t>
      </w:r>
    </w:p>
    <w:p>
      <w:pPr>
        <w:spacing w:after="80" w:before="40"/>
        <w:jc w:val="left"/>
      </w:pPr>
      <w:r>
        <w:rPr>
          <w:rFonts w:ascii="Mangal" w:hAnsi="Mangal" w:cs="Mangal"/>
          <w:rFonts w:ascii="Mangal" w:hAnsi="Mangal"/>
          <w:b w:val="0"/>
          <w:color w:val="000000"/>
          <w:sz w:val="22"/>
        </w:rPr>
        <w:t>ACKO ने Claim (दावा) अस्वीकार करते हुए केवल यह कहा कि:</w:t>
      </w:r>
    </w:p>
    <w:p>
      <w:pPr>
        <w:shd w:val="clear" w:color="auto" w:fill="FFF2CC"/>
        <w:spacing w:after="40"/>
        <w:ind w:left="283" w:right="283"/>
      </w:pPr>
      <w:r>
        <w:rPr>
          <w:rFonts w:ascii="Mangal" w:hAnsi="Mangal" w:cs="Mangal"/>
          <w:rFonts w:ascii="Mangal" w:hAnsi="Mangal"/>
          <w:i/>
          <w:color w:val="7B3F00"/>
          <w:sz w:val="22"/>
        </w:rPr>
        <w:t>"आपकी बीमारी Clause (खंड) 4.1.2 — Specific Illnesses (विशिष्ट रोग) की Waiting Period (प्रतीक्षा अवधि) के अंतर्गत आती है, इसलिए 2 वर्षों तक यह खर्च covered (आच्छादित) नहीं होगा।"</w:t>
      </w:r>
    </w:p>
    <w:p>
      <w:pPr>
        <w:spacing w:after="80" w:before="40"/>
        <w:jc w:val="left"/>
      </w:pPr>
      <w:r>
        <w:rPr>
          <w:rFonts w:ascii="Mangal" w:hAnsi="Mangal" w:cs="Mangal"/>
          <w:rFonts w:ascii="Mangal" w:hAnsi="Mangal"/>
          <w:b/>
          <w:color w:val="C00000"/>
          <w:sz w:val="22"/>
        </w:rPr>
        <w:t>यह तर्क कानूनी और तथ्यात्मक दोनों दृष्टि से गलत है। नीचे बिंदुवार खंडन प्रस्तुत है:</w:t>
      </w:r>
    </w:p>
    <w:p>
      <w:pPr>
        <w:spacing w:after="40"/>
      </w:pPr>
    </w:p>
    <w:p>
      <w:pPr>
        <w:jc w:val="left"/>
        <w:shd w:val="clear" w:color="auto" w:fill="D6E4F0"/>
      </w:pPr>
      <w:r>
        <w:rPr>
          <w:rFonts w:ascii="Mangal" w:hAnsi="Mangal" w:cs="Mangal"/>
          <w:rFonts w:ascii="Mangal" w:hAnsi="Mangal"/>
          <w:b/>
          <w:color w:val="1F4E79"/>
          <w:sz w:val="26"/>
        </w:rPr>
        <w:t>3.  हमारे 5 प्रमुख तर्क (Our 5 Strong Arguments)</w:t>
      </w:r>
    </w:p>
    <w:p>
      <w:pPr>
        <w:jc w:val="left"/>
        <w:shd w:val="clear" w:color="auto" w:fill="FFE7E7"/>
      </w:pPr>
      <w:r>
        <w:rPr>
          <w:rFonts w:ascii="Mangal" w:hAnsi="Mangal" w:cs="Mangal"/>
          <w:rFonts w:ascii="Mangal" w:hAnsi="Mangal"/>
          <w:b/>
          <w:color w:val="C00000"/>
          <w:sz w:val="24"/>
        </w:rPr>
        <w:t>तर्क 1 — बीमारी Clause 4.1.2 की List में है ही नहीं</w:t>
      </w:r>
    </w:p>
    <w:p>
      <w:pPr>
        <w:spacing w:after="80" w:before="40"/>
        <w:jc w:val="left"/>
      </w:pPr>
      <w:r>
        <w:rPr>
          <w:rFonts w:ascii="Mangal" w:hAnsi="Mangal" w:cs="Mangal"/>
          <w:rFonts w:ascii="Mangal" w:hAnsi="Mangal"/>
          <w:b w:val="0"/>
          <w:color w:val="000000"/>
          <w:sz w:val="22"/>
        </w:rPr>
        <w:t>Clause (खंड) 4.1.2 केवल उन्हीं बीमारियों पर लागू होता है जो Policy (पॉलिसी) की Schedule (अनुसूची) में नाम से listed (सूचीबद्ध) हों।</w:t>
      </w:r>
    </w:p>
    <w:p>
      <w:pPr>
        <w:pStyle w:val="ListBullet"/>
        <w:spacing w:after="60" w:before="20"/>
        <w:ind w:left="283"/>
      </w:pPr>
      <w:r>
        <w:rPr>
          <w:rFonts w:ascii="Mangal" w:hAnsi="Mangal" w:cs="Mangal"/>
          <w:rFonts w:ascii="Mangal" w:hAnsi="Mangal"/>
          <w:color w:val="000000"/>
          <w:sz w:val="22"/>
        </w:rPr>
        <w:t>Tight Phimosis (कसा हुआ चमड़ी संकुचन), Balanitis (शिश्न की सूजन) और Meatal Stenosis (मूत्रमार्ग संकुचन) — ये तीनों ACKO की किसी भी List में नहीं हैं।</w:t>
      </w:r>
    </w:p>
    <w:p>
      <w:pPr>
        <w:pStyle w:val="ListBullet"/>
        <w:spacing w:after="60" w:before="20"/>
        <w:ind w:left="283"/>
      </w:pPr>
      <w:r>
        <w:rPr>
          <w:rFonts w:ascii="Mangal" w:hAnsi="Mangal" w:cs="Mangal"/>
          <w:rFonts w:ascii="Mangal" w:hAnsi="Mangal"/>
          <w:color w:val="000000"/>
          <w:sz w:val="22"/>
        </w:rPr>
        <w:t>Ombudsman (लोकपाल) के समक्ष कहें: "ACKO अपनी Policy Document (पॉलिसी दस्तावेज़) से दिखाए कि इस बीमारी का नाम List में कहाँ है — वह ऐसा नहीं कर पाएगा।"</w:t>
      </w:r>
    </w:p>
    <w:p>
      <w:pPr>
        <w:pStyle w:val="ListBullet"/>
        <w:spacing w:after="60" w:before="20"/>
        <w:ind w:left="283"/>
      </w:pPr>
      <w:r>
        <w:rPr>
          <w:rFonts w:ascii="Mangal" w:hAnsi="Mangal" w:cs="Mangal"/>
          <w:rFonts w:ascii="Mangal" w:hAnsi="Mangal"/>
          <w:color w:val="000000"/>
          <w:sz w:val="22"/>
        </w:rPr>
        <w:t>IRDAI (भारतीय बीमा विनियामक एवं विकास प्राधिकरण) के नियमों के अनुसार, Exclusion (बहिष्करण) स्पष्ट और नाम से लिखित होनी चाहिए।</w:t>
      </w:r>
    </w:p>
    <w:p>
      <w:pPr>
        <w:pBdr>
          <w:bottom w:val="single" w:sz="6" w:space="1" w:color="1F4E79"/>
        </w:pBdr>
        <w:spacing w:after="80" w:before="0"/>
      </w:pPr>
    </w:p>
    <w:p>
      <w:pPr>
        <w:jc w:val="left"/>
        <w:shd w:val="clear" w:color="auto" w:fill="FFE7E7"/>
      </w:pPr>
      <w:r>
        <w:rPr>
          <w:rFonts w:ascii="Mangal" w:hAnsi="Mangal" w:cs="Mangal"/>
          <w:rFonts w:ascii="Mangal" w:hAnsi="Mangal"/>
          <w:b/>
          <w:color w:val="C00000"/>
          <w:sz w:val="24"/>
        </w:rPr>
        <w:t>तर्क 2 — यह Emergency Surgery (आपातकालीन शल्यक्रिया) थी, Elective (वैकल्पिक) नहीं</w:t>
      </w:r>
    </w:p>
    <w:p>
      <w:pPr>
        <w:spacing w:after="80" w:before="40"/>
        <w:jc w:val="left"/>
      </w:pPr>
      <w:r>
        <w:rPr>
          <w:rFonts w:ascii="Mangal" w:hAnsi="Mangal" w:cs="Mangal"/>
          <w:rFonts w:ascii="Mangal" w:hAnsi="Mangal"/>
          <w:b w:val="0"/>
          <w:color w:val="000000"/>
          <w:sz w:val="22"/>
        </w:rPr>
        <w:t>Medical Emergency (चिकित्सा आपातकाल) की स्थिति में किसी भी Waiting Period (प्रतीक्षा अवधि) का नियम लागू नहीं होता।</w:t>
      </w:r>
    </w:p>
    <w:p>
      <w:pPr>
        <w:pStyle w:val="ListBullet"/>
        <w:spacing w:after="60" w:before="20"/>
        <w:ind w:left="283"/>
      </w:pPr>
      <w:r>
        <w:rPr>
          <w:rFonts w:ascii="Mangal" w:hAnsi="Mangal" w:cs="Mangal"/>
          <w:rFonts w:ascii="Mangal" w:hAnsi="Mangal"/>
          <w:color w:val="000000"/>
          <w:sz w:val="22"/>
        </w:rPr>
        <w:t>Urinary Obstruction (मूत्र अवरोध) हो रहा था — पेशाब रुक रहा था। यह जानलेवा स्थिति थी।</w:t>
      </w:r>
    </w:p>
    <w:p>
      <w:pPr>
        <w:pStyle w:val="ListBullet"/>
        <w:spacing w:after="60" w:before="20"/>
        <w:ind w:left="283"/>
      </w:pPr>
      <w:r>
        <w:rPr>
          <w:rFonts w:ascii="Mangal" w:hAnsi="Mangal" w:cs="Mangal"/>
          <w:rFonts w:ascii="Mangal" w:hAnsi="Mangal"/>
          <w:color w:val="000000"/>
          <w:sz w:val="22"/>
        </w:rPr>
        <w:t>Doctor (चिकित्सक) ने Immediate Surgery (तत्काल शल्यचिकित्सा) की लिखित सिफारिश की थी।</w:t>
      </w:r>
    </w:p>
    <w:p>
      <w:pPr>
        <w:pStyle w:val="ListBullet"/>
        <w:spacing w:after="60" w:before="20"/>
        <w:ind w:left="283"/>
      </w:pPr>
      <w:r>
        <w:rPr>
          <w:rFonts w:ascii="Mangal" w:hAnsi="Mangal" w:cs="Mangal"/>
          <w:rFonts w:ascii="Mangal" w:hAnsi="Mangal"/>
          <w:color w:val="000000"/>
          <w:sz w:val="22"/>
        </w:rPr>
        <w:t>यह Cosmetic (सौंदर्य-वर्धक) या Optional (ऐच्छिक) Surgery नहीं थी — यह जीवन रक्षक प्रक्रिया थी।</w:t>
      </w:r>
    </w:p>
    <w:p>
      <w:pPr>
        <w:pStyle w:val="ListBullet"/>
        <w:spacing w:after="60" w:before="20"/>
        <w:ind w:left="283"/>
      </w:pPr>
      <w:r>
        <w:rPr>
          <w:rFonts w:ascii="Mangal" w:hAnsi="Mangal" w:cs="Mangal"/>
          <w:rFonts w:ascii="Mangal" w:hAnsi="Mangal"/>
          <w:color w:val="000000"/>
          <w:sz w:val="22"/>
        </w:rPr>
        <w:t>Biopsy Report (ऊतक-परीक्षण रिपोर्ट) ने Lichen Sclerosus की पुष्टि की — जो एक गंभीर त्वचा रोग है।</w:t>
      </w:r>
    </w:p>
    <w:p>
      <w:pPr>
        <w:pBdr>
          <w:bottom w:val="single" w:sz="6" w:space="1" w:color="1F4E79"/>
        </w:pBdr>
        <w:spacing w:after="80" w:before="0"/>
      </w:pPr>
    </w:p>
    <w:p>
      <w:pPr>
        <w:jc w:val="left"/>
        <w:shd w:val="clear" w:color="auto" w:fill="FFE7E7"/>
      </w:pPr>
      <w:r>
        <w:rPr>
          <w:rFonts w:ascii="Mangal" w:hAnsi="Mangal" w:cs="Mangal"/>
          <w:rFonts w:ascii="Mangal" w:hAnsi="Mangal"/>
          <w:b/>
          <w:color w:val="C00000"/>
          <w:sz w:val="24"/>
        </w:rPr>
        <w:t>तर्क 3 — यह Pre-Existing Disease (पूर्व-विद्यमान रोग) नहीं था</w:t>
      </w:r>
    </w:p>
    <w:p>
      <w:pPr>
        <w:spacing w:after="80" w:before="40"/>
        <w:jc w:val="left"/>
      </w:pPr>
      <w:r>
        <w:rPr>
          <w:rFonts w:ascii="Mangal" w:hAnsi="Mangal" w:cs="Mangal"/>
          <w:rFonts w:ascii="Mangal" w:hAnsi="Mangal"/>
          <w:b w:val="0"/>
          <w:color w:val="000000"/>
          <w:sz w:val="22"/>
        </w:rPr>
        <w:t>ACKO यह सिद्ध नहीं कर सकता कि यह बीमारी Policy (पॉलिसी) लेने से पहले मौजूद थी।</w:t>
      </w:r>
    </w:p>
    <w:p>
      <w:pPr>
        <w:pStyle w:val="ListBullet"/>
        <w:spacing w:after="60" w:before="20"/>
        <w:ind w:left="283"/>
      </w:pPr>
      <w:r>
        <w:rPr>
          <w:rFonts w:ascii="Mangal" w:hAnsi="Mangal" w:cs="Mangal"/>
          <w:rFonts w:ascii="Mangal" w:hAnsi="Mangal"/>
          <w:color w:val="000000"/>
          <w:sz w:val="22"/>
        </w:rPr>
        <w:t>कोई पुरानी Medical Record (चिकित्सा अभिलेख) नहीं है जिसमें यह बीमारी दर्ज हो।</w:t>
      </w:r>
    </w:p>
    <w:p>
      <w:pPr>
        <w:pStyle w:val="ListBullet"/>
        <w:spacing w:after="60" w:before="20"/>
        <w:ind w:left="283"/>
      </w:pPr>
      <w:r>
        <w:rPr>
          <w:rFonts w:ascii="Mangal" w:hAnsi="Mangal" w:cs="Mangal"/>
          <w:rFonts w:ascii="Mangal" w:hAnsi="Mangal"/>
          <w:color w:val="000000"/>
          <w:sz w:val="22"/>
        </w:rPr>
        <w:t>Proposal Form (प्रस्ताव पत्र) में इसे Disclose (प्रकट) नहीं किया गया — क्योंकि था ही नहीं।</w:t>
      </w:r>
    </w:p>
    <w:p>
      <w:pPr>
        <w:pStyle w:val="ListBullet"/>
        <w:spacing w:after="60" w:before="20"/>
        <w:ind w:left="283"/>
      </w:pPr>
      <w:r>
        <w:rPr>
          <w:rFonts w:ascii="Mangal" w:hAnsi="Mangal" w:cs="Mangal"/>
          <w:rFonts w:ascii="Mangal" w:hAnsi="Mangal"/>
          <w:color w:val="000000"/>
          <w:sz w:val="22"/>
        </w:rPr>
        <w:t>Clause 4.1.2(d) भी केवल Listed Conditions (सूचीबद्ध स्थितियों) पर लागू होता है — और यह बीमारी List में नहीं है।</w:t>
      </w:r>
    </w:p>
    <w:p>
      <w:pPr>
        <w:pBdr>
          <w:bottom w:val="single" w:sz="6" w:space="1" w:color="1F4E79"/>
        </w:pBdr>
        <w:spacing w:after="80" w:before="0"/>
      </w:pPr>
    </w:p>
    <w:p>
      <w:pPr>
        <w:jc w:val="left"/>
        <w:shd w:val="clear" w:color="auto" w:fill="FFE7E7"/>
      </w:pPr>
      <w:r>
        <w:rPr>
          <w:rFonts w:ascii="Mangal" w:hAnsi="Mangal" w:cs="Mangal"/>
          <w:rFonts w:ascii="Mangal" w:hAnsi="Mangal"/>
          <w:b/>
          <w:color w:val="C00000"/>
          <w:sz w:val="24"/>
        </w:rPr>
        <w:t>तर्क 4 — Policy (पॉलिसी) पूर्ण रूप से Active (सक्रिय) थी</w:t>
      </w:r>
    </w:p>
    <w:p>
      <w:pPr>
        <w:spacing w:after="80" w:before="40"/>
        <w:jc w:val="left"/>
      </w:pPr>
      <w:r>
        <w:rPr>
          <w:rFonts w:ascii="Mangal" w:hAnsi="Mangal" w:cs="Mangal"/>
          <w:rFonts w:ascii="Mangal" w:hAnsi="Mangal"/>
          <w:b w:val="0"/>
          <w:color w:val="000000"/>
          <w:sz w:val="22"/>
        </w:rPr>
        <w:t>Claim (दावे) की तारीख को Policy पूर्णतः वैध और सक्रिय थी।</w:t>
      </w:r>
    </w:p>
    <w:p>
      <w:pPr>
        <w:pStyle w:val="ListBullet"/>
        <w:spacing w:after="60" w:before="20"/>
        <w:ind w:left="283"/>
      </w:pPr>
      <w:r>
        <w:rPr>
          <w:rFonts w:ascii="Mangal" w:hAnsi="Mangal" w:cs="Mangal"/>
          <w:rFonts w:ascii="Mangal" w:hAnsi="Mangal"/>
          <w:color w:val="000000"/>
          <w:sz w:val="22"/>
        </w:rPr>
        <w:t>जून 2025 तक की सभी Installments (किश्तें / EMI) समय पर जमा की गई थीं।</w:t>
      </w:r>
    </w:p>
    <w:p>
      <w:pPr>
        <w:pStyle w:val="ListBullet"/>
        <w:spacing w:after="60" w:before="20"/>
        <w:ind w:left="283"/>
      </w:pPr>
      <w:r>
        <w:rPr>
          <w:rFonts w:ascii="Mangal" w:hAnsi="Mangal" w:cs="Mangal"/>
          <w:rFonts w:ascii="Mangal" w:hAnsi="Mangal"/>
          <w:color w:val="000000"/>
          <w:sz w:val="22"/>
        </w:rPr>
        <w:t>Policy में कोई Break (अंतराल) नहीं था — यह Fresh Policy (नई पॉलिसी) थी।</w:t>
      </w:r>
    </w:p>
    <w:p>
      <w:pPr>
        <w:pStyle w:val="ListBullet"/>
        <w:spacing w:after="60" w:before="20"/>
        <w:ind w:left="283"/>
      </w:pPr>
      <w:r>
        <w:rPr>
          <w:rFonts w:ascii="Mangal" w:hAnsi="Mangal" w:cs="Mangal"/>
          <w:rFonts w:ascii="Mangal" w:hAnsi="Mangal"/>
          <w:color w:val="000000"/>
          <w:sz w:val="22"/>
        </w:rPr>
        <w:t>Payment Receipts (भुगतान रसीदें) सबूत के तौर पर प्रस्तुत की जा सकती हैं।</w:t>
      </w:r>
    </w:p>
    <w:p>
      <w:pPr>
        <w:pBdr>
          <w:bottom w:val="single" w:sz="6" w:space="1" w:color="1F4E79"/>
        </w:pBdr>
        <w:spacing w:after="80" w:before="0"/>
      </w:pPr>
    </w:p>
    <w:p>
      <w:pPr>
        <w:jc w:val="left"/>
        <w:shd w:val="clear" w:color="auto" w:fill="FFE7E7"/>
      </w:pPr>
      <w:r>
        <w:rPr>
          <w:rFonts w:ascii="Mangal" w:hAnsi="Mangal" w:cs="Mangal"/>
          <w:rFonts w:ascii="Mangal" w:hAnsi="Mangal"/>
          <w:b/>
          <w:color w:val="C00000"/>
          <w:sz w:val="24"/>
        </w:rPr>
        <w:t>तर्क 5 — ACKO ने Natural Justice (प्राकृतिक न्याय) का उल्लंघन किया</w:t>
      </w:r>
    </w:p>
    <w:p>
      <w:pPr>
        <w:spacing w:after="80" w:before="40"/>
        <w:jc w:val="left"/>
      </w:pPr>
      <w:r>
        <w:rPr>
          <w:rFonts w:ascii="Mangal" w:hAnsi="Mangal" w:cs="Mangal"/>
          <w:rFonts w:ascii="Mangal" w:hAnsi="Mangal"/>
          <w:b w:val="0"/>
          <w:color w:val="000000"/>
          <w:sz w:val="22"/>
        </w:rPr>
        <w:t>ACKO ने बिना उचित जाँच के Claim Reject (दावा अस्वीकार) कर दिया।</w:t>
      </w:r>
    </w:p>
    <w:p>
      <w:pPr>
        <w:pStyle w:val="ListBullet"/>
        <w:spacing w:after="60" w:before="20"/>
        <w:ind w:left="283"/>
      </w:pPr>
      <w:r>
        <w:rPr>
          <w:rFonts w:ascii="Mangal" w:hAnsi="Mangal" w:cs="Mangal"/>
          <w:rFonts w:ascii="Mangal" w:hAnsi="Mangal"/>
          <w:color w:val="000000"/>
          <w:sz w:val="22"/>
        </w:rPr>
        <w:t>कोई Medical Expert (चिकित्सा विशेषज्ञ) नहीं बुलाया गया।</w:t>
      </w:r>
    </w:p>
    <w:p>
      <w:pPr>
        <w:pStyle w:val="ListBullet"/>
        <w:spacing w:after="60" w:before="20"/>
        <w:ind w:left="283"/>
      </w:pPr>
      <w:r>
        <w:rPr>
          <w:rFonts w:ascii="Mangal" w:hAnsi="Mangal" w:cs="Mangal"/>
          <w:rFonts w:ascii="Mangal" w:hAnsi="Mangal"/>
          <w:color w:val="000000"/>
          <w:sz w:val="22"/>
        </w:rPr>
        <w:t>Hospital (अस्पताल) या Doctor से कोई Verification (सत्यापन) नहीं किया गया।</w:t>
      </w:r>
    </w:p>
    <w:p>
      <w:pPr>
        <w:pStyle w:val="ListBullet"/>
        <w:spacing w:after="60" w:before="20"/>
        <w:ind w:left="283"/>
      </w:pPr>
      <w:r>
        <w:rPr>
          <w:rFonts w:ascii="Mangal" w:hAnsi="Mangal" w:cs="Mangal"/>
          <w:rFonts w:ascii="Mangal" w:hAnsi="Mangal"/>
          <w:color w:val="000000"/>
          <w:sz w:val="22"/>
        </w:rPr>
        <w:t>केवल एक Generic Rejection Letter (सामान्य अस्वीकृति पत्र) भेज दिया — बिना विशिष्ट कारण बताए।</w:t>
      </w:r>
    </w:p>
    <w:p>
      <w:pPr>
        <w:pStyle w:val="ListBullet"/>
        <w:spacing w:after="60" w:before="20"/>
        <w:ind w:left="283"/>
      </w:pPr>
      <w:r>
        <w:rPr>
          <w:rFonts w:ascii="Mangal" w:hAnsi="Mangal" w:cs="Mangal"/>
          <w:rFonts w:ascii="Mangal" w:hAnsi="Mangal"/>
          <w:color w:val="000000"/>
          <w:sz w:val="22"/>
        </w:rPr>
        <w:t>IRDAI के Regulations (विनियम) के अनुसार Insurer (बीमाकर्ता) को Rejection से पहले Claimant (दावेदार) को सुनने का अवसर देना अनिवार्य है।</w:t>
      </w:r>
    </w:p>
    <w:p>
      <w:pPr>
        <w:spacing w:after="80"/>
      </w:pPr>
    </w:p>
    <w:p>
      <w:pPr>
        <w:jc w:val="left"/>
        <w:shd w:val="clear" w:color="auto" w:fill="D6E4F0"/>
      </w:pPr>
      <w:r>
        <w:rPr>
          <w:rFonts w:ascii="Mangal" w:hAnsi="Mangal" w:cs="Mangal"/>
          <w:rFonts w:ascii="Mangal" w:hAnsi="Mangal"/>
          <w:b/>
          <w:color w:val="1F4E79"/>
          <w:sz w:val="26"/>
        </w:rPr>
        <w:t>4.  साथ लाने वाले Documents (दस्तावेज़)</w:t>
      </w:r>
    </w:p>
    <w:p>
      <w:pPr>
        <w:spacing w:after="80" w:before="40"/>
        <w:jc w:val="left"/>
      </w:pPr>
      <w:r>
        <w:rPr>
          <w:rFonts w:ascii="Mangal" w:hAnsi="Mangal" w:cs="Mangal"/>
          <w:rFonts w:ascii="Mangal" w:hAnsi="Mangal"/>
          <w:b w:val="0"/>
          <w:color w:val="000000"/>
          <w:sz w:val="22"/>
        </w:rPr>
        <w:t>Ombudsman (लोकपाल) की Hearing (सुनवाई) में नीचे दिए सभी Documents अवश्य लाएँ:</w:t>
      </w:r>
    </w:p>
    <w:p>
      <w:pPr>
        <w:pStyle w:val="ListBullet"/>
        <w:spacing w:after="60" w:before="20"/>
        <w:ind w:left="283"/>
      </w:pPr>
      <w:r>
        <w:rPr>
          <w:rFonts w:ascii="Mangal" w:hAnsi="Mangal" w:cs="Mangal"/>
          <w:rFonts w:ascii="Mangal" w:hAnsi="Mangal"/>
          <w:color w:val="1F4E79"/>
          <w:sz w:val="22"/>
        </w:rPr>
        <w:t>Hospital Discharge Summary (अस्पताल छुट्टी सारांश) — 20-21 जून 2025</w:t>
      </w:r>
    </w:p>
    <w:p>
      <w:pPr>
        <w:pStyle w:val="ListBullet"/>
        <w:spacing w:after="60" w:before="20"/>
        <w:ind w:left="283"/>
      </w:pPr>
      <w:r>
        <w:rPr>
          <w:rFonts w:ascii="Mangal" w:hAnsi="Mangal" w:cs="Mangal"/>
          <w:rFonts w:ascii="Mangal" w:hAnsi="Mangal"/>
          <w:color w:val="1F4E79"/>
          <w:sz w:val="22"/>
        </w:rPr>
        <w:t>Biopsy Report (ऊतक-परीक्षण रिपोर्ट) — Lichen Sclerosus की पुष्टि</w:t>
      </w:r>
    </w:p>
    <w:p>
      <w:pPr>
        <w:pStyle w:val="ListBullet"/>
        <w:spacing w:after="60" w:before="20"/>
        <w:ind w:left="283"/>
      </w:pPr>
      <w:r>
        <w:rPr>
          <w:rFonts w:ascii="Mangal" w:hAnsi="Mangal" w:cs="Mangal"/>
          <w:rFonts w:ascii="Mangal" w:hAnsi="Mangal"/>
          <w:color w:val="1F4E79"/>
          <w:sz w:val="22"/>
        </w:rPr>
        <w:t>Doctor's Prescription (चिकित्सक का पर्चा) — तत्काल Surgery की सिफारिश</w:t>
      </w:r>
    </w:p>
    <w:p>
      <w:pPr>
        <w:pStyle w:val="ListBullet"/>
        <w:spacing w:after="60" w:before="20"/>
        <w:ind w:left="283"/>
      </w:pPr>
      <w:r>
        <w:rPr>
          <w:rFonts w:ascii="Mangal" w:hAnsi="Mangal" w:cs="Mangal"/>
          <w:rFonts w:ascii="Mangal" w:hAnsi="Mangal"/>
          <w:color w:val="1F4E79"/>
          <w:sz w:val="22"/>
        </w:rPr>
        <w:t>Hospital Bill (अस्पताल बिल) — ₹37,358 का पूरा विवरण</w:t>
      </w:r>
    </w:p>
    <w:p>
      <w:pPr>
        <w:pStyle w:val="ListBullet"/>
        <w:spacing w:after="60" w:before="20"/>
        <w:ind w:left="283"/>
      </w:pPr>
      <w:r>
        <w:rPr>
          <w:rFonts w:ascii="Mangal" w:hAnsi="Mangal" w:cs="Mangal"/>
          <w:rFonts w:ascii="Mangal" w:hAnsi="Mangal"/>
          <w:color w:val="1F4E79"/>
          <w:sz w:val="22"/>
        </w:rPr>
        <w:t>Policy Document (पॉलिसी दस्तावेज़) — ASHP202400001607</w:t>
      </w:r>
    </w:p>
    <w:p>
      <w:pPr>
        <w:pStyle w:val="ListBullet"/>
        <w:spacing w:after="60" w:before="20"/>
        <w:ind w:left="283"/>
      </w:pPr>
      <w:r>
        <w:rPr>
          <w:rFonts w:ascii="Mangal" w:hAnsi="Mangal" w:cs="Mangal"/>
          <w:rFonts w:ascii="Mangal" w:hAnsi="Mangal"/>
          <w:color w:val="1F4E79"/>
          <w:sz w:val="22"/>
        </w:rPr>
        <w:t>EMI / Premium Payment Receipts (प्रीमियम भुगतान रसीदें)</w:t>
      </w:r>
    </w:p>
    <w:p>
      <w:pPr>
        <w:pStyle w:val="ListBullet"/>
        <w:spacing w:after="60" w:before="20"/>
        <w:ind w:left="283"/>
      </w:pPr>
      <w:r>
        <w:rPr>
          <w:rFonts w:ascii="Mangal" w:hAnsi="Mangal" w:cs="Mangal"/>
          <w:rFonts w:ascii="Mangal" w:hAnsi="Mangal"/>
          <w:color w:val="1F4E79"/>
          <w:sz w:val="22"/>
        </w:rPr>
        <w:t>ACKO का Rejection Letter (अस्वीकृति पत्र) — 26 जून व 2 जुलाई 2025</w:t>
      </w:r>
    </w:p>
    <w:p>
      <w:pPr>
        <w:pStyle w:val="ListBullet"/>
        <w:spacing w:after="60" w:before="20"/>
        <w:ind w:left="283"/>
      </w:pPr>
      <w:r>
        <w:rPr>
          <w:rFonts w:ascii="Mangal" w:hAnsi="Mangal" w:cs="Mangal"/>
          <w:rFonts w:ascii="Mangal" w:hAnsi="Mangal"/>
          <w:color w:val="1F4E79"/>
          <w:sz w:val="22"/>
        </w:rPr>
        <w:t>सभी Emails (ईमेल) जो ACKO को भेजी गईं और उनके जवाब</w:t>
      </w:r>
    </w:p>
    <w:p>
      <w:pPr>
        <w:pStyle w:val="ListBullet"/>
        <w:spacing w:after="60" w:before="20"/>
        <w:ind w:left="283"/>
      </w:pPr>
      <w:r>
        <w:rPr>
          <w:rFonts w:ascii="Mangal" w:hAnsi="Mangal" w:cs="Mangal"/>
          <w:rFonts w:ascii="Mangal" w:hAnsi="Mangal"/>
          <w:color w:val="1F4E79"/>
          <w:sz w:val="22"/>
        </w:rPr>
        <w:t>Ombudsman Complaint (लोकपाल शिकायत) की प्रति — NOI-H-056-2526-0961</w:t>
      </w:r>
    </w:p>
    <w:p>
      <w:pPr>
        <w:pStyle w:val="ListBullet"/>
        <w:spacing w:after="60" w:before="20"/>
        <w:ind w:left="283"/>
      </w:pPr>
      <w:r>
        <w:rPr>
          <w:rFonts w:ascii="Mangal" w:hAnsi="Mangal" w:cs="Mangal"/>
          <w:rFonts w:ascii="Mangal" w:hAnsi="Mangal"/>
          <w:color w:val="1F4E79"/>
          <w:sz w:val="22"/>
        </w:rPr>
        <w:t>Annexure VI-A Form (अनुलग्नक VI-A प्रपत्र) — भरा हुआ</w:t>
      </w:r>
    </w:p>
    <w:p>
      <w:pPr>
        <w:spacing w:after="80"/>
      </w:pPr>
    </w:p>
    <w:p>
      <w:pPr>
        <w:jc w:val="left"/>
        <w:shd w:val="clear" w:color="auto" w:fill="D6E4F0"/>
      </w:pPr>
      <w:r>
        <w:rPr>
          <w:rFonts w:ascii="Mangal" w:hAnsi="Mangal" w:cs="Mangal"/>
          <w:rFonts w:ascii="Mangal" w:hAnsi="Mangal"/>
          <w:b/>
          <w:color w:val="1F4E79"/>
          <w:sz w:val="26"/>
        </w:rPr>
        <w:t>5.  Hearing (सुनवाई) में क्या कहें — तैयार वाक्य</w:t>
      </w:r>
    </w:p>
    <w:p>
      <w:pPr>
        <w:spacing w:after="80" w:before="40"/>
        <w:jc w:val="left"/>
      </w:pPr>
      <w:r>
        <w:rPr>
          <w:rFonts w:ascii="Mangal" w:hAnsi="Mangal" w:cs="Mangal"/>
          <w:rFonts w:ascii="Mangal" w:hAnsi="Mangal"/>
          <w:b/>
          <w:color w:val="000000"/>
          <w:sz w:val="22"/>
        </w:rPr>
        <w:t>नीचे दिए वाक्य Ombudsman के सामने आत्मविश्वास से बोलें:</w:t>
      </w:r>
    </w:p>
    <w:p>
      <w:pPr>
        <w:pStyle w:val="ListBullet"/>
        <w:spacing w:after="60" w:before="20"/>
        <w:ind w:left="283"/>
      </w:pPr>
      <w:r>
        <w:rPr>
          <w:rFonts w:ascii="Mangal" w:hAnsi="Mangal" w:cs="Mangal"/>
          <w:rFonts w:ascii="Mangal" w:hAnsi="Mangal"/>
          <w:b/>
          <w:color w:val="1A5276"/>
          <w:sz w:val="22"/>
        </w:rPr>
        <w:t>"Clause (खंड) 4.1.2 की List में Phimosis / Balanitis का नाम नहीं है — ACKO अपनी Policy Document से दिखाए।"</w:t>
      </w:r>
    </w:p>
    <w:p>
      <w:pPr>
        <w:pStyle w:val="ListBullet"/>
        <w:spacing w:after="60" w:before="20"/>
        <w:ind w:left="283"/>
      </w:pPr>
      <w:r>
        <w:rPr>
          <w:rFonts w:ascii="Mangal" w:hAnsi="Mangal" w:cs="Mangal"/>
          <w:rFonts w:ascii="Mangal" w:hAnsi="Mangal"/>
          <w:b/>
          <w:color w:val="1A5276"/>
          <w:sz w:val="22"/>
        </w:rPr>
        <w:t>"यह Emergency (आपातकाल) था — Doctor ने Immediate Surgery (तत्काल शल्यचिकित्सा) लिखी थी — Elective (वैकल्पिक) नहीं था।"</w:t>
      </w:r>
    </w:p>
    <w:p>
      <w:pPr>
        <w:pStyle w:val="ListBullet"/>
        <w:spacing w:after="60" w:before="20"/>
        <w:ind w:left="283"/>
      </w:pPr>
      <w:r>
        <w:rPr>
          <w:rFonts w:ascii="Mangal" w:hAnsi="Mangal" w:cs="Mangal"/>
          <w:rFonts w:ascii="Mangal" w:hAnsi="Mangal"/>
          <w:b/>
          <w:color w:val="1A5276"/>
          <w:sz w:val="22"/>
        </w:rPr>
        <w:t>"Biopsy Report (ऊतक-परीक्षण रिपोर्ट) से Lichen Sclerosus सिद्ध है — यह Pre-Existing Disease (पूर्व-विद्यमान रोग) नहीं थी।"</w:t>
      </w:r>
    </w:p>
    <w:p>
      <w:pPr>
        <w:pStyle w:val="ListBullet"/>
        <w:spacing w:after="60" w:before="20"/>
        <w:ind w:left="283"/>
      </w:pPr>
      <w:r>
        <w:rPr>
          <w:rFonts w:ascii="Mangal" w:hAnsi="Mangal" w:cs="Mangal"/>
          <w:rFonts w:ascii="Mangal" w:hAnsi="Mangal"/>
          <w:b/>
          <w:color w:val="1A5276"/>
          <w:sz w:val="22"/>
        </w:rPr>
        <w:t>"मेरी सभी EMIs (किश्तें) समय पर जमा हैं — Policy पूरी तरह Active (सक्रिय) थी।"</w:t>
      </w:r>
    </w:p>
    <w:p>
      <w:pPr>
        <w:pStyle w:val="ListBullet"/>
        <w:spacing w:after="60" w:before="20"/>
        <w:ind w:left="283"/>
      </w:pPr>
      <w:r>
        <w:rPr>
          <w:rFonts w:ascii="Mangal" w:hAnsi="Mangal" w:cs="Mangal"/>
          <w:rFonts w:ascii="Mangal" w:hAnsi="Mangal"/>
          <w:b/>
          <w:color w:val="1A5276"/>
          <w:sz w:val="22"/>
        </w:rPr>
        <w:t>"ACKO ने कोई Medical Expert (विशेषज्ञ) नहीं बुलाया — यह IRDAI Guidelines (दिशानिर्देश) का उल्लंघन है।"</w:t>
      </w:r>
    </w:p>
    <w:p>
      <w:pPr>
        <w:pStyle w:val="ListBullet"/>
        <w:spacing w:after="60" w:before="20"/>
        <w:ind w:left="283"/>
      </w:pPr>
      <w:r>
        <w:rPr>
          <w:rFonts w:ascii="Mangal" w:hAnsi="Mangal" w:cs="Mangal"/>
          <w:rFonts w:ascii="Mangal" w:hAnsi="Mangal"/>
          <w:b/>
          <w:color w:val="1A5276"/>
          <w:sz w:val="22"/>
        </w:rPr>
        <w:t>"मैं ₹37,358 की Reimbursement (प्रतिपूर्ति) और ₹10,000 Mental Agony Compensation (मानसिक पीड़ा क्षतिपूर्ति) का हकदार हूँ।"</w:t>
      </w:r>
    </w:p>
    <w:p>
      <w:pPr>
        <w:spacing w:after="80"/>
      </w:pPr>
    </w:p>
    <w:p>
      <w:pPr>
        <w:jc w:val="left"/>
        <w:shd w:val="clear" w:color="auto" w:fill="D6E4F0"/>
      </w:pPr>
      <w:r>
        <w:rPr>
          <w:rFonts w:ascii="Mangal" w:hAnsi="Mangal" w:cs="Mangal"/>
          <w:rFonts w:ascii="Mangal" w:hAnsi="Mangal"/>
          <w:b/>
          <w:color w:val="1F4E79"/>
          <w:sz w:val="26"/>
        </w:rPr>
        <w:t>6.  ACKO का संभावित Counter-Argument (जवाबी तर्क) और हमारा उत्तर</w:t>
      </w:r>
    </w:p>
    <w:tbl>
      <w:tblPr>
        <w:tblStyle w:val="TableGrid"/>
        <w:tblW w:type="auto" w:w="0"/>
        <w:jc w:val="center"/>
        <w:tblLook w:firstColumn="1" w:firstRow="1" w:lastColumn="0" w:lastRow="0" w:noHBand="0" w:noVBand="1" w:val="04A0"/>
      </w:tblPr>
      <w:tblGrid>
        <w:gridCol w:w="3969"/>
        <w:gridCol w:w="5102"/>
      </w:tblGrid>
      <w:tr>
        <w:tc>
          <w:tcPr>
            <w:tcW w:type="dxa" w:w="3969"/>
            <w:shd w:val="clear" w:color="auto" w:fill="1F4E79"/>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color w:val="FFFFFF"/>
                <w:sz w:val="20"/>
              </w:rPr>
              <w:t>ACKO का तर्क</w:t>
            </w:r>
          </w:p>
        </w:tc>
        <w:tc>
          <w:tcPr>
            <w:tcW w:type="dxa" w:w="5102"/>
            <w:shd w:val="clear" w:color="auto" w:fill="1F4E79"/>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color w:val="FFFFFF"/>
                <w:sz w:val="20"/>
              </w:rPr>
              <w:t>हमारा उत्तर</w:t>
            </w:r>
          </w:p>
        </w:tc>
      </w:tr>
      <w:tr>
        <w:tc>
          <w:tcPr>
            <w:tcW w:type="dxa" w:w="3969"/>
            <w:shd w:val="clear" w:color="auto" w:fill="FFE7E7"/>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"यह Specific Illness (विशिष्ट रोग) है — Waiting Period लागू है"</w:t>
            </w:r>
          </w:p>
        </w:tc>
        <w:tc>
          <w:tcPr>
            <w:tcW w:type="dxa" w:w="5102"/>
            <w:shd w:val="clear" w:color="auto" w:fill="E8F8E8"/>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"List दिखाओ जिसमें Phimosis/Balanitis का नाम हो — है ही नहीं।"</w:t>
            </w:r>
          </w:p>
        </w:tc>
      </w:tr>
      <w:tr>
        <w:tc>
          <w:tcPr>
            <w:tcW w:type="dxa" w:w="3969"/>
            <w:shd w:val="clear" w:color="auto" w:fill="FFE7E7"/>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"Policy नई है, 2 साल पूरे नहीं हुए"</w:t>
            </w:r>
          </w:p>
        </w:tc>
        <w:tc>
          <w:tcPr>
            <w:tcW w:type="dxa" w:w="5102"/>
            <w:shd w:val="clear" w:color="auto" w:fill="E8F8E8"/>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"Waiting Period केवल Listed Diseases पर लागू होती है — यह Listed नहीं है।"</w:t>
            </w:r>
          </w:p>
        </w:tc>
      </w:tr>
      <w:tr>
        <w:tc>
          <w:tcPr>
            <w:tcW w:type="dxa" w:w="3969"/>
            <w:shd w:val="clear" w:color="auto" w:fill="FFE7E7"/>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"2022 की Ultrasound (अल्ट्रासाउंड) रिपोर्ट में Prostate (प्रोस्टेट) बड़ा था"</w:t>
            </w:r>
          </w:p>
        </w:tc>
        <w:tc>
          <w:tcPr>
            <w:tcW w:type="dxa" w:w="5102"/>
            <w:shd w:val="clear" w:color="auto" w:fill="E8F8E8"/>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"Prostate की बीमारी और Phimosis/Balanitis दो अलग-अलग Organs की अलग-अलग बीमारियाँ हैं — कोई Medical Connection (चिकित्सीय संबंध) नहीं।"</w:t>
            </w:r>
          </w:p>
        </w:tc>
      </w:tr>
      <w:tr>
        <w:tc>
          <w:tcPr>
            <w:tcW w:type="dxa" w:w="3969"/>
            <w:shd w:val="clear" w:color="auto" w:fill="FFE7E7"/>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"हमने Senior Committee (वरिष्ठ समिति) से Review (समीक्षा) करवाई"</w:t>
            </w:r>
          </w:p>
        </w:tc>
        <w:tc>
          <w:tcPr>
            <w:tcW w:type="dxa" w:w="5102"/>
            <w:shd w:val="clear" w:color="auto" w:fill="E8F8E8"/>
            <w:tcBorders>
              <w:top w:val="single" w:sz="6" w:space="0" w:color="1F4E79"/>
              <w:left w:val="single" w:sz="6" w:space="0" w:color="1F4E79"/>
              <w:bottom w:val="single" w:sz="6" w:space="0" w:color="1F4E79"/>
              <w:right w:val="single" w:sz="6" w:space="0" w:color="1F4E79"/>
            </w:tcBorders>
            <w:vAlign w:val="center"/>
          </w:tcPr>
          <w:p>
            <w:pPr>
              <w:spacing w:before="60" w:after="60"/>
            </w:pPr>
            <w:r>
              <w:rPr>
                <w:rFonts w:ascii="Mangal" w:hAnsi="Mangal" w:cs="Mangal"/>
                <w:rFonts w:ascii="Mangal" w:hAnsi="Mangal"/>
                <w:b w:val="0"/>
                <w:color w:val="000000"/>
                <w:sz w:val="20"/>
              </w:rPr>
              <w:t>"Committee का नाम और Medical Expert का नाम बताएँ — कोई Hospital Verification नहीं हुई।"</w:t>
            </w:r>
          </w:p>
        </w:tc>
      </w:tr>
    </w:tbl>
    <w:p>
      <w:pPr>
        <w:spacing w:after="80"/>
      </w:pPr>
    </w:p>
    <w:p>
      <w:pPr>
        <w:jc w:val="left"/>
        <w:shd w:val="clear" w:color="auto" w:fill="D6E4F0"/>
      </w:pPr>
      <w:r>
        <w:rPr>
          <w:rFonts w:ascii="Mangal" w:hAnsi="Mangal" w:cs="Mangal"/>
          <w:rFonts w:ascii="Mangal" w:hAnsi="Mangal"/>
          <w:b/>
          <w:color w:val="1F4E79"/>
          <w:sz w:val="26"/>
        </w:rPr>
        <w:t>7.  निष्कर्ष (Conclusion)</w:t>
      </w:r>
    </w:p>
    <w:p>
      <w:pPr>
        <w:shd w:val="clear" w:color="auto" w:fill="E8F5E9"/>
        <w:spacing w:after="80"/>
        <w:ind w:left="170" w:right="170"/>
      </w:pPr>
      <w:r>
        <w:rPr>
          <w:rFonts w:ascii="Mangal" w:hAnsi="Mangal" w:cs="Mangal"/>
          <w:rFonts w:ascii="Mangal" w:hAnsi="Mangal"/>
          <w:color w:val="1A5276"/>
          <w:sz w:val="22"/>
        </w:rPr>
        <w:t>आपका Case (मामला) कानूनी और तथ्यात्मक दोनों दृष्टि से मज़बूत है। ACKO ने गलत Clause (खंड) लगाकर एक जरूरी और आपातकालीन Surgery (शल्यचिकित्सा) के Claim (दावे) को ठुकरा दिया। आपके पास Hospital Discharge Summary, Biopsy Report, Doctor Prescriptions, और EMI Payment Records — सभी प्रमाण मौजूद हैं। Ombudsman (लोकपाल) के सामने शांति और आत्मविश्वास से अपनी बात रखें — जीतने की पूरी संभावना है।</w:t>
      </w:r>
    </w:p>
    <w:p>
      <w:pPr>
        <w:jc w:val="center"/>
        <w:shd w:val="clear" w:color="auto" w:fill="1F4E79"/>
      </w:pPr>
      <w:r>
        <w:rPr>
          <w:rFonts w:ascii="Mangal" w:hAnsi="Mangal" w:cs="Mangal"/>
          <w:rFonts w:ascii="Mangal" w:hAnsi="Mangal"/>
          <w:color w:val="FFFFFF"/>
          <w:sz w:val="18"/>
        </w:rPr>
        <w:t>विकास गांधी  |  Policy: ASHP202400001607  |  Complaint: NOI-H-056-2526-0961  |  Mobile: 9911198000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