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S/o Shri Surendra Gandhi, 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r>
        <w:tc>
          <w:tcPr>
            <w:tcW w:type="dxa" w:w="3000"/>
          </w:tcPr>
          <w:p>
            <w:r/>
            <w:r>
              <w:rPr>
                <w:rFonts w:ascii="Times New Roman" w:hAnsi="Times New Roman" w:cs="Nirmala UI" w:eastAsia="Times New Roman"/>
                <w:b w:val="0"/>
                <w:i w:val="0"/>
                <w:sz w:val="20"/>
              </w:rPr>
              <w:t>14.07.2026</w:t>
            </w:r>
          </w:p>
        </w:tc>
        <w:tc>
          <w:tcPr>
            <w:tcW w:type="dxa" w:w="3000"/>
          </w:tcPr>
          <w:p>
            <w:r/>
            <w:r>
              <w:rPr>
                <w:rFonts w:ascii="Times New Roman" w:hAnsi="Times New Roman" w:cs="Nirmala UI" w:eastAsia="Times New Roman"/>
                <w:b w:val="0"/>
                <w:i w:val="0"/>
                <w:sz w:val="20"/>
              </w:rPr>
              <w:t>Grievance registered on the National Consumer Helpline (INGRAM) portal against the repudiation — Grievance No. 9719631 (status: in process)</w:t>
            </w:r>
          </w:p>
        </w:tc>
        <w:tc>
          <w:tcPr>
            <w:tcW w:type="dxa" w:w="3000"/>
          </w:tcPr>
          <w:p>
            <w:r/>
            <w:r>
              <w:rPr>
                <w:rFonts w:ascii="Times New Roman" w:hAnsi="Times New Roman" w:cs="Nirmala UI" w:eastAsia="Times New Roman"/>
                <w:b w:val="0"/>
                <w:i w:val="0"/>
                <w:sz w:val="20"/>
              </w:rPr>
              <w:t>Annexure C-10 (colly.)</w:t>
            </w:r>
          </w:p>
        </w:tc>
      </w:tr>
      <w:tr>
        <w:tc>
          <w:tcPr>
            <w:tcW w:type="dxa" w:w="3000"/>
          </w:tcPr>
          <w:p>
            <w:r>
              <w:t>15.07.2026</w:t>
            </w:r>
          </w:p>
        </w:tc>
        <w:tc>
          <w:tcPr>
            <w:tcW w:type="dxa" w:w="3000"/>
          </w:tcPr>
          <w:p>
            <w:r>
              <w:t>Opposite Party's Grievance Redressal Officer replies by email, reiterating verbatim the very “waiting period” ground of 26.06.2025 — once again without identifying any listed condition in the Schedule, and without adverting to the biopsy report, the treating doctor's certificate dated 12.07.2026, or the Ombudsman's findings in paras 13–14 of the Award</w:t>
            </w:r>
          </w:p>
        </w:tc>
        <w:tc>
          <w:tcPr>
            <w:tcW w:type="dxa" w:w="3000"/>
          </w:tcPr>
          <w:p>
            <w:r>
              <w:t>Annexure C-10 (colly.)</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cauliflower like lesion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was suffering from Phimosis with Balanitis with meatal stenosis &amp; UTI. His surgery was must in view of unable to pass urine &amp; UTI. His Preputial Biopsy came out to be (BXO) which is a pre-malignant condition &amp; not any elective or cosmetic surgery. There is life threatening infection risk &amp; risk of penile cancer if not treated…"</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line="360" w:lineRule="auto"/>
        <w:jc w:val="both"/>
      </w:pPr>
      <w:r>
        <w:rPr>
          <w:rFonts w:ascii="Times New Roman" w:hAnsi="Times New Roman" w:cs="Nirmala UI" w:eastAsia="Times New Roman"/>
          <w:b w:val="0"/>
          <w:i w:val="0"/>
          <w:sz w:val="24"/>
        </w:rPr>
        <w:t xml:space="preserve">16-A. Indeed, the Opposite Party has itself </w:t>
      </w:r>
      <w:r>
        <w:rPr>
          <w:rFonts w:ascii="Times New Roman" w:hAnsi="Times New Roman" w:cs="Nirmala UI" w:eastAsia="Times New Roman"/>
          <w:b/>
          <w:i w:val="0"/>
          <w:sz w:val="24"/>
        </w:rPr>
        <w:t>renewed</w:t>
      </w:r>
      <w:r>
        <w:rPr>
          <w:rFonts w:ascii="Times New Roman" w:hAnsi="Times New Roman" w:cs="Nirmala UI" w:eastAsia="Times New Roman"/>
          <w:b w:val="0"/>
          <w:i w:val="0"/>
          <w:sz w:val="24"/>
        </w:rPr>
        <w:t xml:space="preserve"> the policy as Policy No. ASHP202400001607R1 for the period 04.11.2025–03.11.2026 (Sum Insured ₹11,00,000 including inflation-protection bonus; premium ₹36,656.86 — Annexure C-1 colly.). The renewal document records "</w:t>
      </w:r>
      <w:r>
        <w:rPr>
          <w:rFonts w:ascii="Times New Roman" w:hAnsi="Times New Roman" w:cs="Nirmala UI" w:eastAsia="Times New Roman"/>
          <w:b/>
          <w:i w:val="0"/>
          <w:sz w:val="24"/>
        </w:rPr>
        <w:t>First policy inception date: 04/11/2024</w:t>
      </w:r>
      <w:r>
        <w:rPr>
          <w:rFonts w:ascii="Times New Roman" w:hAnsi="Times New Roman" w:cs="Nirmala UI" w:eastAsia="Times New Roman"/>
          <w:b w:val="0"/>
          <w:i w:val="0"/>
          <w:sz w:val="24"/>
        </w:rPr>
        <w:t>" and "Existing user: Yes". The insurer thus continues to accept the Complainant's premium and treats the cover as continuous from 04.11.2024 — even while refusing the only claim ever made under it.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it is not disputed that the procedure was medically necessary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would not be covered under the Permanent Exclusion clause 4.2.3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