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r>
        <w:tc>
          <w:tcPr>
            <w:tcW w:type="dxa" w:w="3000"/>
          </w:tcPr>
          <w:p>
            <w:r/>
            <w:r>
              <w:rPr>
                <w:rFonts w:ascii="Times New Roman" w:hAnsi="Times New Roman" w:cs="Nirmala UI" w:eastAsia="Times New Roman"/>
                <w:b w:val="0"/>
                <w:i w:val="0"/>
                <w:sz w:val="20"/>
              </w:rPr>
              <w:t>14.07.2026</w:t>
            </w:r>
          </w:p>
        </w:tc>
        <w:tc>
          <w:tcPr>
            <w:tcW w:type="dxa" w:w="3000"/>
          </w:tcPr>
          <w:p>
            <w:r/>
            <w:r>
              <w:rPr>
                <w:rFonts w:ascii="Times New Roman" w:hAnsi="Times New Roman" w:cs="Nirmala UI" w:eastAsia="Times New Roman"/>
                <w:b w:val="0"/>
                <w:i w:val="0"/>
                <w:sz w:val="20"/>
              </w:rPr>
              <w:t>Grievance registered on the National Consumer Helpline (INGRAM) portal against the repudiation — Grievance No. 9719631 (status: in process)</w:t>
            </w:r>
          </w:p>
        </w:tc>
        <w:tc>
          <w:tcPr>
            <w:tcW w:type="dxa" w:w="3000"/>
          </w:tcPr>
          <w:p>
            <w:r/>
            <w:r>
              <w:rPr>
                <w:rFonts w:ascii="Times New Roman" w:hAnsi="Times New Roman" w:cs="Nirmala UI" w:eastAsia="Times New Roman"/>
                <w:b w:val="0"/>
                <w:i w:val="0"/>
                <w:sz w:val="20"/>
              </w:rPr>
              <w:t>Annexure C-10 (colly.)</w:t>
            </w:r>
          </w:p>
        </w:tc>
      </w:tr>
      <w:tr>
        <w:tc>
          <w:tcPr>
            <w:tcW w:type="dxa" w:w="3000"/>
          </w:tcPr>
          <w:p>
            <w:r>
              <w:t>15.07.2026</w:t>
            </w:r>
          </w:p>
        </w:tc>
        <w:tc>
          <w:tcPr>
            <w:tcW w:type="dxa" w:w="3000"/>
          </w:tcPr>
          <w:p>
            <w:r>
              <w:t>Opposite Party's Grievance Redressal Officer replies by email, reiterating verbatim the very “waiting period” ground of 26.06.2025 — once again without identifying any listed condition in the Schedule, and without adverting to the biopsy report, the treating doctor's certificate dated 12.07.2026, or the Ombudsman's findings in paras 13–14 of the Award</w:t>
            </w:r>
          </w:p>
        </w:tc>
        <w:tc>
          <w:tcPr>
            <w:tcW w:type="dxa" w:w="3000"/>
          </w:tcPr>
          <w:p>
            <w:r>
              <w:t>Annexure C-10 (colly.)</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w:t>
      </w:r>
      <w:r>
        <w:rPr>
          <w:rFonts w:ascii="Times New Roman" w:hAnsi="Times New Roman" w:cs="Nirmala UI" w:eastAsia="Times New Roman"/>
          <w:b w:val="0"/>
          <w:i/>
          <w:sz w:val="22"/>
        </w:rPr>
        <w:t>cauliflower like lesion</w:t>
      </w:r>
      <w:r>
        <w:rPr>
          <w:rFonts w:ascii="Times New Roman" w:hAnsi="Times New Roman" w:cs="Nirmala UI" w:eastAsia="Times New Roman"/>
          <w:b w:val="0"/>
          <w:i/>
          <w:sz w:val="22"/>
        </w:rPr>
        <w:t xml:space="preserve">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t>
      </w:r>
      <w:r>
        <w:rPr>
          <w:rFonts w:ascii="Times New Roman" w:hAnsi="Times New Roman" w:cs="Nirmala UI" w:eastAsia="Times New Roman"/>
          <w:b w:val="0"/>
          <w:i/>
          <w:sz w:val="22"/>
        </w:rPr>
        <w:t>was suffering from Phimosis with Balanitis with meatal stenosis &amp; UTI. His surgery was must in view of unable to pass urine &amp; UTI. His Preputial Biopsy came out to be (BXO) which is a pre-malignant condition</w:t>
      </w:r>
      <w:r>
        <w:rPr>
          <w:rFonts w:ascii="Times New Roman" w:hAnsi="Times New Roman" w:cs="Nirmala UI" w:eastAsia="Times New Roman"/>
          <w:b w:val="0"/>
          <w:i/>
          <w:sz w:val="22"/>
        </w:rPr>
        <w:t xml:space="preserve"> &amp; not any elective or cosmetic surgery. </w:t>
      </w:r>
      <w:r>
        <w:rPr>
          <w:rFonts w:ascii="Times New Roman" w:hAnsi="Times New Roman" w:cs="Nirmala UI" w:eastAsia="Times New Roman"/>
          <w:b w:val="0"/>
          <w:i/>
          <w:sz w:val="22"/>
        </w:rPr>
        <w:t>There is life threatening infection risk &amp; risk of penile cancer if not treated…</w:t>
      </w:r>
      <w:r>
        <w:rPr>
          <w:rFonts w:ascii="Times New Roman" w:hAnsi="Times New Roman" w:cs="Nirmala UI" w:eastAsia="Times New Roman"/>
          <w:b w:val="0"/>
          <w:i/>
          <w:sz w:val="22"/>
        </w:rPr>
        <w:t>"</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line="360" w:lineRule="auto"/>
        <w:jc w:val="both"/>
      </w:pPr>
      <w:r>
        <w:rPr>
          <w:rFonts w:ascii="Times New Roman" w:hAnsi="Times New Roman" w:cs="Nirmala UI" w:eastAsia="Times New Roman"/>
          <w:b w:val="0"/>
          <w:i w:val="0"/>
          <w:sz w:val="24"/>
        </w:rPr>
        <w:t xml:space="preserve">16-A. Indeed, the Opposite Party has itself </w:t>
      </w:r>
      <w:r>
        <w:rPr>
          <w:rFonts w:ascii="Times New Roman" w:hAnsi="Times New Roman" w:cs="Nirmala UI" w:eastAsia="Times New Roman"/>
          <w:b/>
          <w:i w:val="0"/>
          <w:sz w:val="24"/>
        </w:rPr>
        <w:t>renewed</w:t>
      </w:r>
      <w:r>
        <w:rPr>
          <w:rFonts w:ascii="Times New Roman" w:hAnsi="Times New Roman" w:cs="Nirmala UI" w:eastAsia="Times New Roman"/>
          <w:b w:val="0"/>
          <w:i w:val="0"/>
          <w:sz w:val="24"/>
        </w:rPr>
        <w:t xml:space="preserve"> the policy as Policy No. ASHP202400001607R1 for the period 04.11.2025–03.11.2026 (Sum Insured ₹11,00,000 including inflation-protection bonus; premium ₹36,656.86 — Annexure C-1 colly.). The renewal document records "</w:t>
      </w:r>
      <w:r>
        <w:rPr>
          <w:rFonts w:ascii="Times New Roman" w:hAnsi="Times New Roman" w:cs="Nirmala UI" w:eastAsia="Times New Roman"/>
          <w:b/>
          <w:i w:val="0"/>
          <w:sz w:val="24"/>
        </w:rPr>
        <w:t>First policy inception date: 04/11/2024</w:t>
      </w:r>
      <w:r>
        <w:rPr>
          <w:rFonts w:ascii="Times New Roman" w:hAnsi="Times New Roman" w:cs="Nirmala UI" w:eastAsia="Times New Roman"/>
          <w:b w:val="0"/>
          <w:i w:val="0"/>
          <w:sz w:val="24"/>
        </w:rPr>
        <w:t>" and "Existing user: Yes". The insurer thus continues to accept the Complainant's premium and treats the cover as continuous from 04.11.2024 — even while refusing the only claim ever made under it.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w:t>
      </w:r>
      <w:r>
        <w:rPr>
          <w:rFonts w:ascii="Times New Roman" w:hAnsi="Times New Roman" w:cs="Nirmala UI" w:eastAsia="Times New Roman"/>
          <w:b w:val="0"/>
          <w:i/>
          <w:sz w:val="22"/>
        </w:rPr>
        <w:t>it is not disputed that the procedure was medically necessary</w:t>
      </w:r>
      <w:r>
        <w:rPr>
          <w:rFonts w:ascii="Times New Roman" w:hAnsi="Times New Roman" w:cs="Nirmala UI" w:eastAsia="Times New Roman"/>
          <w:b w:val="0"/>
          <w:i/>
          <w:sz w:val="22"/>
        </w:rPr>
        <w:t xml:space="preserve">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t>
      </w:r>
      <w:r>
        <w:rPr>
          <w:rFonts w:ascii="Times New Roman" w:hAnsi="Times New Roman" w:cs="Nirmala UI" w:eastAsia="Times New Roman"/>
          <w:b w:val="0"/>
          <w:i/>
          <w:sz w:val="22"/>
        </w:rPr>
        <w:t>would not be covered under the Permanent Exclusion clause 4.2.3</w:t>
      </w:r>
      <w:r>
        <w:rPr>
          <w:rFonts w:ascii="Times New Roman" w:hAnsi="Times New Roman" w:cs="Nirmala UI" w:eastAsia="Times New Roman"/>
          <w:b w:val="0"/>
          <w:i/>
          <w:sz w:val="22"/>
        </w:rPr>
        <w:t xml:space="preserve">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before="240"/>
        <w:jc w:val="center"/>
      </w:pPr>
      <w:r>
        <w:rPr>
          <w:rFonts w:ascii="Times New Roman" w:hAnsi="Times New Roman" w:cs="Nirmala UI" w:eastAsia="Times New Roman"/>
          <w:b/>
          <w:i w:val="0"/>
          <w:sz w:val="26"/>
        </w:rPr>
        <w:t>LIST OF ANNEXURES</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Annexure</w:t>
            </w:r>
          </w:p>
        </w:tc>
        <w:tc>
          <w:tcPr>
            <w:tcW w:type="dxa" w:w="4500"/>
          </w:tcPr>
          <w:p>
            <w:r/>
            <w:r>
              <w:rPr>
                <w:rFonts w:ascii="Times New Roman" w:hAnsi="Times New Roman" w:cs="Nirmala UI" w:eastAsia="Times New Roman"/>
                <w:b/>
                <w:i w:val="0"/>
                <w:sz w:val="20"/>
              </w:rPr>
              <w:t>Document</w:t>
            </w:r>
          </w:p>
        </w:tc>
      </w:tr>
      <w:tr>
        <w:tc>
          <w:tcPr>
            <w:tcW w:type="dxa" w:w="4500"/>
          </w:tcPr>
          <w:p>
            <w:r/>
            <w:r>
              <w:rPr>
                <w:rFonts w:ascii="Times New Roman" w:hAnsi="Times New Roman" w:cs="Nirmala UI" w:eastAsia="Times New Roman"/>
                <w:b w:val="0"/>
                <w:i w:val="0"/>
                <w:sz w:val="20"/>
              </w:rPr>
              <w:t>C-1 (colly.)</w:t>
            </w:r>
          </w:p>
        </w:tc>
        <w:tc>
          <w:tcPr>
            <w:tcW w:type="dxa" w:w="4500"/>
          </w:tcPr>
          <w:p>
            <w:r/>
            <w:r>
              <w:rPr>
                <w:rFonts w:ascii="Times New Roman" w:hAnsi="Times New Roman" w:cs="Nirmala UI" w:eastAsia="Times New Roman"/>
                <w:b w:val="0"/>
                <w:i w:val="0"/>
                <w:sz w:val="20"/>
              </w:rPr>
              <w:t>Policy Schedule, Policy No. ASHP202400001607 (with "Additional conditions" and Annexure – Specific illness list); renewal Policy Schedule No. ASHP202400001607R1 (04.11.2025–03.11.2026)</w:t>
            </w:r>
          </w:p>
        </w:tc>
      </w:tr>
      <w:tr>
        <w:tc>
          <w:tcPr>
            <w:tcW w:type="dxa" w:w="4500"/>
          </w:tcPr>
          <w:p>
            <w:r/>
            <w:r>
              <w:rPr>
                <w:rFonts w:ascii="Times New Roman" w:hAnsi="Times New Roman" w:cs="Nirmala UI" w:eastAsia="Times New Roman"/>
                <w:b w:val="0"/>
                <w:i w:val="0"/>
                <w:sz w:val="20"/>
              </w:rPr>
              <w:t>C-2</w:t>
            </w:r>
          </w:p>
        </w:tc>
        <w:tc>
          <w:tcPr>
            <w:tcW w:type="dxa" w:w="4500"/>
          </w:tcPr>
          <w:p>
            <w:r/>
            <w:r>
              <w:rPr>
                <w:rFonts w:ascii="Times New Roman" w:hAnsi="Times New Roman" w:cs="Nirmala UI" w:eastAsia="Times New Roman"/>
                <w:b w:val="0"/>
                <w:i w:val="0"/>
                <w:sz w:val="20"/>
              </w:rPr>
              <w:t>Proposal Form (recording "No medical conditions"; "PED declared — Obesity")</w:t>
            </w:r>
          </w:p>
        </w:tc>
      </w:tr>
      <w:tr>
        <w:tc>
          <w:tcPr>
            <w:tcW w:type="dxa" w:w="4500"/>
          </w:tcPr>
          <w:p>
            <w:r/>
            <w:r>
              <w:rPr>
                <w:rFonts w:ascii="Times New Roman" w:hAnsi="Times New Roman" w:cs="Nirmala UI" w:eastAsia="Times New Roman"/>
                <w:b w:val="0"/>
                <w:i w:val="0"/>
                <w:sz w:val="20"/>
              </w:rPr>
              <w:t>C-3</w:t>
            </w:r>
          </w:p>
        </w:tc>
        <w:tc>
          <w:tcPr>
            <w:tcW w:type="dxa" w:w="4500"/>
          </w:tcPr>
          <w:p>
            <w:r/>
            <w:r>
              <w:rPr>
                <w:rFonts w:ascii="Times New Roman" w:hAnsi="Times New Roman" w:cs="Nirmala UI" w:eastAsia="Times New Roman"/>
                <w:b w:val="0"/>
                <w:i w:val="0"/>
                <w:sz w:val="20"/>
              </w:rPr>
              <w:t>Premium payment records / policy active status</w:t>
            </w:r>
          </w:p>
        </w:tc>
      </w:tr>
      <w:tr>
        <w:tc>
          <w:tcPr>
            <w:tcW w:type="dxa" w:w="4500"/>
          </w:tcPr>
          <w:p>
            <w:r/>
            <w:r>
              <w:rPr>
                <w:rFonts w:ascii="Times New Roman" w:hAnsi="Times New Roman" w:cs="Nirmala UI" w:eastAsia="Times New Roman"/>
                <w:b w:val="0"/>
                <w:i w:val="0"/>
                <w:sz w:val="20"/>
              </w:rPr>
              <w:t>C-4</w:t>
            </w:r>
          </w:p>
        </w:tc>
        <w:tc>
          <w:tcPr>
            <w:tcW w:type="dxa" w:w="4500"/>
          </w:tcPr>
          <w:p>
            <w:r/>
            <w:r>
              <w:rPr>
                <w:rFonts w:ascii="Times New Roman" w:hAnsi="Times New Roman" w:cs="Nirmala UI" w:eastAsia="Times New Roman"/>
                <w:b w:val="0"/>
                <w:i w:val="0"/>
                <w:sz w:val="20"/>
              </w:rPr>
              <w:t>Discharge Summary, RS Maitri Health Care, Ghaziabad (20–21.06.2025)</w:t>
            </w:r>
          </w:p>
        </w:tc>
      </w:tr>
      <w:tr>
        <w:tc>
          <w:tcPr>
            <w:tcW w:type="dxa" w:w="4500"/>
          </w:tcPr>
          <w:p>
            <w:r/>
            <w:r>
              <w:rPr>
                <w:rFonts w:ascii="Times New Roman" w:hAnsi="Times New Roman" w:cs="Nirmala UI" w:eastAsia="Times New Roman"/>
                <w:b w:val="0"/>
                <w:i w:val="0"/>
                <w:sz w:val="20"/>
              </w:rPr>
              <w:t>C-5</w:t>
            </w:r>
          </w:p>
        </w:tc>
        <w:tc>
          <w:tcPr>
            <w:tcW w:type="dxa" w:w="4500"/>
          </w:tcPr>
          <w:p>
            <w:r/>
            <w:r>
              <w:rPr>
                <w:rFonts w:ascii="Times New Roman" w:hAnsi="Times New Roman" w:cs="Nirmala UI" w:eastAsia="Times New Roman"/>
                <w:b w:val="0"/>
                <w:i w:val="0"/>
                <w:sz w:val="20"/>
              </w:rPr>
              <w:t>Hospital bills with break-up of charges (₹37,358/-)</w:t>
            </w:r>
          </w:p>
        </w:tc>
      </w:tr>
      <w:tr>
        <w:tc>
          <w:tcPr>
            <w:tcW w:type="dxa" w:w="4500"/>
          </w:tcPr>
          <w:p>
            <w:r/>
            <w:r>
              <w:rPr>
                <w:rFonts w:ascii="Times New Roman" w:hAnsi="Times New Roman" w:cs="Nirmala UI" w:eastAsia="Times New Roman"/>
                <w:b w:val="0"/>
                <w:i w:val="0"/>
                <w:sz w:val="20"/>
              </w:rPr>
              <w:t>C-6</w:t>
            </w:r>
          </w:p>
        </w:tc>
        <w:tc>
          <w:tcPr>
            <w:tcW w:type="dxa" w:w="4500"/>
          </w:tcPr>
          <w:p>
            <w:r/>
            <w:r>
              <w:rPr>
                <w:rFonts w:ascii="Times New Roman" w:hAnsi="Times New Roman" w:cs="Nirmala UI" w:eastAsia="Times New Roman"/>
                <w:b w:val="0"/>
                <w:i w:val="0"/>
                <w:sz w:val="20"/>
              </w:rPr>
              <w:t>Claim registration and Complainant's representation dated 24.06.2025</w:t>
            </w:r>
          </w:p>
        </w:tc>
      </w:tr>
      <w:tr>
        <w:tc>
          <w:tcPr>
            <w:tcW w:type="dxa" w:w="4500"/>
          </w:tcPr>
          <w:p>
            <w:r/>
            <w:r>
              <w:rPr>
                <w:rFonts w:ascii="Times New Roman" w:hAnsi="Times New Roman" w:cs="Nirmala UI" w:eastAsia="Times New Roman"/>
                <w:b w:val="0"/>
                <w:i w:val="0"/>
                <w:sz w:val="20"/>
              </w:rPr>
              <w:t>C-7</w:t>
            </w:r>
          </w:p>
        </w:tc>
        <w:tc>
          <w:tcPr>
            <w:tcW w:type="dxa" w:w="4500"/>
          </w:tcPr>
          <w:p>
            <w:r/>
            <w:r>
              <w:rPr>
                <w:rFonts w:ascii="Times New Roman" w:hAnsi="Times New Roman" w:cs="Nirmala UI" w:eastAsia="Times New Roman"/>
                <w:b w:val="0"/>
                <w:i w:val="0"/>
                <w:sz w:val="20"/>
              </w:rPr>
              <w:t>GRO's rejection email dated 25.06.2025</w:t>
            </w:r>
          </w:p>
        </w:tc>
      </w:tr>
      <w:tr>
        <w:tc>
          <w:tcPr>
            <w:tcW w:type="dxa" w:w="4500"/>
          </w:tcPr>
          <w:p>
            <w:r/>
            <w:r>
              <w:rPr>
                <w:rFonts w:ascii="Times New Roman" w:hAnsi="Times New Roman" w:cs="Nirmala UI" w:eastAsia="Times New Roman"/>
                <w:b w:val="0"/>
                <w:i w:val="0"/>
                <w:sz w:val="20"/>
              </w:rPr>
              <w:t>C-8</w:t>
            </w:r>
          </w:p>
        </w:tc>
        <w:tc>
          <w:tcPr>
            <w:tcW w:type="dxa" w:w="4500"/>
          </w:tcPr>
          <w:p>
            <w:r/>
            <w:r>
              <w:rPr>
                <w:rFonts w:ascii="Times New Roman" w:hAnsi="Times New Roman" w:cs="Nirmala UI" w:eastAsia="Times New Roman"/>
                <w:b w:val="0"/>
                <w:i w:val="0"/>
                <w:sz w:val="20"/>
              </w:rPr>
              <w:t>Repudiation email dated 26.06.2025</w:t>
            </w:r>
          </w:p>
        </w:tc>
      </w:tr>
      <w:tr>
        <w:tc>
          <w:tcPr>
            <w:tcW w:type="dxa" w:w="4500"/>
          </w:tcPr>
          <w:p>
            <w:r/>
            <w:r>
              <w:rPr>
                <w:rFonts w:ascii="Times New Roman" w:hAnsi="Times New Roman" w:cs="Nirmala UI" w:eastAsia="Times New Roman"/>
                <w:b w:val="0"/>
                <w:i w:val="0"/>
                <w:sz w:val="20"/>
              </w:rPr>
              <w:t>C-9</w:t>
            </w:r>
          </w:p>
        </w:tc>
        <w:tc>
          <w:tcPr>
            <w:tcW w:type="dxa" w:w="4500"/>
          </w:tcPr>
          <w:p>
            <w:r/>
            <w:r>
              <w:rPr>
                <w:rFonts w:ascii="Times New Roman" w:hAnsi="Times New Roman" w:cs="Nirmala UI" w:eastAsia="Times New Roman"/>
                <w:b w:val="0"/>
                <w:i w:val="0"/>
                <w:sz w:val="20"/>
              </w:rPr>
              <w:t>Histopathology Report, Max Lab, dated 30.06.2025 (No. V-6630/25)</w:t>
            </w:r>
          </w:p>
        </w:tc>
      </w:tr>
      <w:tr>
        <w:tc>
          <w:tcPr>
            <w:tcW w:type="dxa" w:w="4500"/>
          </w:tcPr>
          <w:p>
            <w:r/>
            <w:r>
              <w:rPr>
                <w:rFonts w:ascii="Times New Roman" w:hAnsi="Times New Roman" w:cs="Nirmala UI" w:eastAsia="Times New Roman"/>
                <w:b w:val="0"/>
                <w:i w:val="0"/>
                <w:sz w:val="20"/>
              </w:rPr>
              <w:t>C-10 (colly.)</w:t>
            </w:r>
          </w:p>
        </w:tc>
        <w:tc>
          <w:tcPr>
            <w:tcW w:type="dxa" w:w="4500"/>
          </w:tcPr>
          <w:p>
            <w:r/>
            <w:r>
              <w:rPr>
                <w:rFonts w:ascii="Times New Roman" w:hAnsi="Times New Roman" w:cs="Nirmala UI" w:eastAsia="Times New Roman"/>
                <w:b w:val="0"/>
                <w:i w:val="0"/>
                <w:sz w:val="20"/>
              </w:rPr>
              <w:t>Subsequent appeals/grievance correspondence with the Opposite Party</w:t>
            </w:r>
          </w:p>
        </w:tc>
      </w:tr>
      <w:tr>
        <w:tc>
          <w:tcPr>
            <w:tcW w:type="dxa" w:w="4500"/>
          </w:tcPr>
          <w:p>
            <w:r/>
            <w:r>
              <w:rPr>
                <w:rFonts w:ascii="Times New Roman" w:hAnsi="Times New Roman" w:cs="Nirmala UI" w:eastAsia="Times New Roman"/>
                <w:b w:val="0"/>
                <w:i w:val="0"/>
                <w:sz w:val="20"/>
              </w:rPr>
              <w:t>C-11</w:t>
            </w:r>
          </w:p>
        </w:tc>
        <w:tc>
          <w:tcPr>
            <w:tcW w:type="dxa" w:w="4500"/>
          </w:tcPr>
          <w:p>
            <w:r/>
            <w:r>
              <w:rPr>
                <w:rFonts w:ascii="Times New Roman" w:hAnsi="Times New Roman" w:cs="Nirmala UI" w:eastAsia="Times New Roman"/>
                <w:b w:val="0"/>
                <w:i w:val="0"/>
                <w:sz w:val="20"/>
              </w:rPr>
              <w:t>Award of Insurance Ombudsman, Noida, No. IO/NOI/A/HI/0061/2026-2027 dated 02.07.2026, with forwarding letter (Annex-XIII-A)</w:t>
            </w:r>
          </w:p>
        </w:tc>
      </w:tr>
      <w:tr>
        <w:tc>
          <w:tcPr>
            <w:tcW w:type="dxa" w:w="4500"/>
          </w:tcPr>
          <w:p>
            <w:r/>
            <w:r>
              <w:rPr>
                <w:rFonts w:ascii="Times New Roman" w:hAnsi="Times New Roman" w:cs="Nirmala UI" w:eastAsia="Times New Roman"/>
                <w:b w:val="0"/>
                <w:i w:val="0"/>
                <w:sz w:val="20"/>
              </w:rPr>
              <w:t>C-12</w:t>
            </w:r>
          </w:p>
        </w:tc>
        <w:tc>
          <w:tcPr>
            <w:tcW w:type="dxa" w:w="4500"/>
          </w:tcPr>
          <w:p>
            <w:r/>
            <w:r>
              <w:rPr>
                <w:rFonts w:ascii="Times New Roman" w:hAnsi="Times New Roman" w:cs="Nirmala UI" w:eastAsia="Times New Roman"/>
                <w:b w:val="0"/>
                <w:i w:val="0"/>
                <w:sz w:val="20"/>
              </w:rPr>
              <w:t>Medical Certificate dated 12.07.2026 of the treating super-specialist, Dr. Vaibhav Saxena, M.S. (BHU), M.Ch. Urology (AIIMS, New Delhi), Senior Director – Urology, Uro-Oncology, Robotic Surgery &amp; Renal Transplant, Yashoda Super Speciality Hospital, Kaushambi; U.P. Medical Council Reg. No. 47425</w:t>
            </w:r>
          </w:p>
        </w:tc>
      </w:tr>
      <w:tr>
        <w:tc>
          <w:tcPr>
            <w:tcW w:type="dxa" w:w="4500"/>
          </w:tcPr>
          <w:p>
            <w:r/>
            <w:r>
              <w:rPr>
                <w:rFonts w:ascii="Times New Roman" w:hAnsi="Times New Roman" w:cs="Nirmala UI" w:eastAsia="Times New Roman"/>
                <w:b w:val="0"/>
                <w:i w:val="0"/>
                <w:sz w:val="20"/>
              </w:rPr>
              <w:t>C-13</w:t>
            </w:r>
          </w:p>
        </w:tc>
        <w:tc>
          <w:tcPr>
            <w:tcW w:type="dxa" w:w="4500"/>
          </w:tcPr>
          <w:p>
            <w:r/>
            <w:r>
              <w:rPr>
                <w:rFonts w:ascii="Times New Roman" w:hAnsi="Times New Roman" w:cs="Nirmala UI" w:eastAsia="Times New Roman"/>
                <w:b w:val="0"/>
                <w:i w:val="0"/>
                <w:sz w:val="20"/>
              </w:rPr>
              <w:t>Medical literature on BXO / Lichen Sclerosus as a premalignant condition (see note below)</w:t>
            </w:r>
          </w:p>
        </w:tc>
      </w:tr>
      <w:tr>
        <w:tc>
          <w:tcPr>
            <w:tcW w:type="dxa" w:w="4500"/>
          </w:tcPr>
          <w:p>
            <w:r/>
            <w:r>
              <w:rPr>
                <w:rFonts w:ascii="Times New Roman" w:hAnsi="Times New Roman" w:cs="Nirmala UI" w:eastAsia="Times New Roman"/>
                <w:b w:val="0"/>
                <w:i w:val="0"/>
                <w:sz w:val="20"/>
              </w:rPr>
              <w:t>C-14</w:t>
            </w:r>
          </w:p>
        </w:tc>
        <w:tc>
          <w:tcPr>
            <w:tcW w:type="dxa" w:w="4500"/>
          </w:tcPr>
          <w:p>
            <w:r/>
            <w:r>
              <w:rPr>
                <w:rFonts w:ascii="Times New Roman" w:hAnsi="Times New Roman" w:cs="Nirmala UI" w:eastAsia="Times New Roman"/>
                <w:b w:val="0"/>
                <w:i w:val="0"/>
                <w:sz w:val="20"/>
              </w:rPr>
              <w:t>Copy of Aadhaar / address proof of Complainant</w:t>
            </w:r>
          </w:p>
        </w:tc>
      </w:tr>
    </w:tbl>
    <w:p/>
    <w:p>
      <w:r>
        <w:rPr>
          <w:rFonts w:ascii="Times New Roman" w:hAnsi="Times New Roman" w:cs="Nirmala UI" w:eastAsia="Times New Roman"/>
          <w:b/>
          <w:i w:val="0"/>
          <w:sz w:val="24"/>
        </w:rPr>
        <w:t>Note on Annexure C-13 (Medical Literature — to be printed and annexed)</w:t>
      </w:r>
    </w:p>
    <w:p>
      <w:pPr>
        <w:spacing w:line="360" w:lineRule="auto"/>
        <w:jc w:val="both"/>
      </w:pPr>
      <w:r>
        <w:rPr>
          <w:rFonts w:ascii="Times New Roman" w:hAnsi="Times New Roman" w:cs="Nirmala UI" w:eastAsia="Times New Roman"/>
          <w:b w:val="0"/>
          <w:i w:val="0"/>
          <w:sz w:val="24"/>
        </w:rPr>
        <w:t>Authoritative sources recording that BXO / genital Lichen Sclerosus is a recognised premalignant condition associated with penile squamous cell carcinoma, to be annexed as C-13 (colly.):</w:t>
      </w:r>
    </w:p>
    <w:p>
      <w:pPr>
        <w:spacing w:line="360" w:lineRule="auto"/>
        <w:jc w:val="both"/>
      </w:pPr>
      <w:r>
        <w:rPr>
          <w:rFonts w:ascii="Times New Roman" w:hAnsi="Times New Roman" w:cs="Nirmala UI" w:eastAsia="Times New Roman"/>
          <w:b w:val="0"/>
          <w:i w:val="0"/>
          <w:sz w:val="24"/>
        </w:rPr>
        <w:t xml:space="preserve">1. </w:t>
      </w:r>
      <w:r>
        <w:rPr>
          <w:rFonts w:ascii="Times New Roman" w:hAnsi="Times New Roman" w:cs="Nirmala UI" w:eastAsia="Times New Roman"/>
          <w:b/>
          <w:i w:val="0"/>
          <w:sz w:val="24"/>
        </w:rPr>
        <w:t>European Association of Urology (EAU) Guidelines on Penile Cancer</w:t>
      </w:r>
      <w:r>
        <w:rPr>
          <w:rFonts w:ascii="Times New Roman" w:hAnsi="Times New Roman" w:cs="Nirmala UI" w:eastAsia="Times New Roman"/>
          <w:b w:val="0"/>
          <w:i w:val="0"/>
          <w:sz w:val="24"/>
        </w:rPr>
        <w:t xml:space="preserve"> — lichen sclerosus is listed among the recognised risk factors for penile squamous cell carcinoma.</w:t>
      </w:r>
    </w:p>
    <w:p>
      <w:pPr>
        <w:spacing w:line="360" w:lineRule="auto"/>
        <w:jc w:val="both"/>
      </w:pPr>
      <w:r>
        <w:rPr>
          <w:rFonts w:ascii="Times New Roman" w:hAnsi="Times New Roman" w:cs="Nirmala UI" w:eastAsia="Times New Roman"/>
          <w:b w:val="0"/>
          <w:i w:val="0"/>
          <w:sz w:val="24"/>
        </w:rPr>
        <w:t xml:space="preserve">2. </w:t>
      </w:r>
      <w:r>
        <w:rPr>
          <w:rFonts w:ascii="Times New Roman" w:hAnsi="Times New Roman" w:cs="Nirmala UI" w:eastAsia="Times New Roman"/>
          <w:b/>
          <w:i w:val="0"/>
          <w:sz w:val="24"/>
        </w:rPr>
        <w:t>Nasca MR, Innocenzi D, Micali G, "Penile cancer among patients with genital lichen sclerosus", Journal of the American Academy of Dermatology, 1999; 41: 911–914</w:t>
      </w:r>
      <w:r>
        <w:rPr>
          <w:rFonts w:ascii="Times New Roman" w:hAnsi="Times New Roman" w:cs="Nirmala UI" w:eastAsia="Times New Roman"/>
          <w:b w:val="0"/>
          <w:i w:val="0"/>
          <w:sz w:val="24"/>
        </w:rPr>
        <w:t xml:space="preserve"> — reporting malignant change in approximately 5.8% of men with genital lichen sclerosus (this corroborates the "about 6%" risk stated at the Ombudsman hearing).</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Depasquale I, Park AJ, Bracka A, "The treatment of balanitis xerotica obliterans", BJU International, 2000; 86: 459–465</w:t>
      </w:r>
      <w:r>
        <w:rPr>
          <w:rFonts w:ascii="Times New Roman" w:hAnsi="Times New Roman" w:cs="Nirmala UI" w:eastAsia="Times New Roman"/>
          <w:b w:val="0"/>
          <w:i w:val="0"/>
          <w:sz w:val="24"/>
        </w:rPr>
        <w:t xml:space="preserve"> — standard reference recognising the association of BXO with penile carcinoma and circumcision as its primary treatment.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WHO Classification of Tumours (Urinary and Male Genital Tumours)</w:t>
      </w:r>
      <w:r>
        <w:rPr>
          <w:rFonts w:ascii="Times New Roman" w:hAnsi="Times New Roman" w:cs="Nirmala UI" w:eastAsia="Times New Roman"/>
          <w:b w:val="0"/>
          <w:i w:val="0"/>
          <w:sz w:val="24"/>
        </w:rPr>
        <w:t xml:space="preserve"> — recognising lichen sclerosus in the pathway of HPV-independent penile squamous cell carcinoma.</w:t>
      </w:r>
    </w:p>
    <w:p>
      <w:pPr>
        <w:spacing w:line="360" w:lineRule="auto"/>
        <w:jc w:val="both"/>
      </w:pPr>
      <w:r>
        <w:rPr>
          <w:rFonts w:ascii="Times New Roman" w:hAnsi="Times New Roman" w:cs="Nirmala UI" w:eastAsia="Times New Roman"/>
          <w:b w:val="0"/>
          <w:i/>
          <w:sz w:val="24"/>
        </w:rPr>
        <w:t>(Printouts of the relevant pages should be obtained and annexed; the treating specialist may also be requested to append the literature to his certificate.)</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