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58803">
      <w:pPr>
        <w:ind w:firstLine="0" w:firstLineChars="0"/>
      </w:pPr>
      <w:r>
        <w:rPr>
          <w:rFonts w:ascii="方正小标宋_GBK" w:hAnsi="方正小标宋_GBK" w:eastAsia="方正小标宋_GBK" w:cs="方正小标宋_GBK"/>
          <w:color w:val="FFFFFF"/>
          <w:sz w:val="52"/>
          <w:szCs w:val="52"/>
          <w:lang w:eastAsia="zh-CN"/>
        </w:rPr>
        <w:pict>
          <v:shape id="_x0000_s2052" o:spid="_x0000_s2052" o:spt="75" alt="0083351 主KV-A4" type="#_x0000_t75" style="position:absolute;left:0pt;margin-left:-81.7pt;margin-top:-99pt;height:846.55pt;width:598.6pt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14" o:title="0083351 主KV-A4"/>
            <o:lock v:ext="edit" aspectratio="t"/>
          </v:shape>
        </w:pict>
      </w:r>
      <w:r>
        <w:rPr>
          <w:lang w:eastAsia="zh-CN"/>
        </w:rPr>
        <w:fldChar w:fldCharType="begin">
          <w:fldData xml:space="preserve">ZQBKAHoAdABYAFEAMQAwAFYATgBXAGQAdgB5ADkAdgBNAHYATgB5AFMAUwBTAE0AdwBzAGwARwBy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</w:p>
    <w:p w14:paraId="375F9589">
      <w:pPr>
        <w:rPr>
          <w:lang w:eastAsia="zh-CN"/>
        </w:rPr>
      </w:pPr>
    </w:p>
    <w:p w14:paraId="68F87651">
      <w:pPr>
        <w:rPr>
          <w:lang w:eastAsia="zh-CN"/>
        </w:rPr>
      </w:pPr>
    </w:p>
    <w:p w14:paraId="1EE0018E">
      <w:pPr>
        <w:pStyle w:val="125"/>
      </w:pPr>
    </w:p>
    <w:p w14:paraId="12A86F4B">
      <w:pPr>
        <w:pStyle w:val="125"/>
      </w:pPr>
    </w:p>
    <w:p w14:paraId="62C24764">
      <w:pPr>
        <w:ind w:firstLine="0" w:firstLineChars="0"/>
        <w:jc w:val="center"/>
        <w:rPr>
          <w:rFonts w:hint="eastAsia" w:ascii="方正小标宋_GBK" w:hAnsi="方正小标宋_GBK" w:eastAsia="方正小标宋_GBK" w:cs="方正小标宋_GBK"/>
          <w:sz w:val="48"/>
          <w:szCs w:val="21"/>
          <w:lang w:eastAsia="zh-CN"/>
        </w:rPr>
      </w:pPr>
    </w:p>
    <w:p w14:paraId="5239BB8B">
      <w:pPr>
        <w:ind w:firstLine="0" w:firstLineChars="0"/>
        <w:jc w:val="center"/>
        <w:rPr>
          <w:rFonts w:hint="eastAsia" w:ascii="方正小标宋_GBK" w:hAnsi="方正小标宋_GBK" w:eastAsia="方正小标宋_GBK" w:cs="方正小标宋_GBK"/>
          <w:color w:val="FFFFFF"/>
          <w:sz w:val="52"/>
          <w:szCs w:val="52"/>
          <w:lang w:eastAsia="zh-CN"/>
        </w:rPr>
      </w:pPr>
    </w:p>
    <w:p w14:paraId="0BDC92C6">
      <w:pPr>
        <w:ind w:firstLine="0" w:firstLineChars="0"/>
        <w:rPr>
          <w:rFonts w:hint="eastAsia" w:ascii="方正小标宋_GBK" w:hAnsi="方正小标宋_GBK" w:eastAsia="方正小标宋_GBK" w:cs="方正小标宋_GBK"/>
          <w:color w:val="FFFFFF"/>
          <w:sz w:val="48"/>
          <w:szCs w:val="48"/>
          <w:lang w:eastAsia="zh-CN"/>
        </w:rPr>
      </w:pPr>
    </w:p>
    <w:p w14:paraId="27F77027">
      <w:pPr>
        <w:ind w:firstLine="0" w:firstLineChars="0"/>
        <w:rPr>
          <w:rFonts w:hint="eastAsia" w:ascii="方正小标宋_GBK" w:hAnsi="方正小标宋_GBK" w:eastAsia="方正小标宋_GBK" w:cs="方正小标宋_GBK"/>
          <w:color w:val="FFFFFF"/>
          <w:sz w:val="48"/>
          <w:szCs w:val="48"/>
          <w:lang w:eastAsia="zh-CN"/>
        </w:rPr>
      </w:pPr>
    </w:p>
    <w:p w14:paraId="5A9640D0">
      <w:pPr>
        <w:ind w:firstLine="0" w:firstLineChars="0"/>
        <w:jc w:val="center"/>
        <w:rPr>
          <w:rFonts w:hint="eastAsia" w:ascii="微软雅黑" w:hAnsi="微软雅黑" w:eastAsia="微软雅黑" w:cs="微软雅黑"/>
          <w:color w:val="FFFFFF"/>
          <w:sz w:val="48"/>
          <w:szCs w:val="48"/>
          <w:lang w:eastAsia="zh-CN"/>
        </w:rPr>
      </w:pPr>
      <w:r>
        <w:rPr>
          <w:rFonts w:eastAsia="微软雅黑"/>
          <w:b/>
          <w:color w:val="FFFFFF"/>
        </w:rPr>
        <w:t xml:space="preserve">项目名称： 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28"/>
          <w:szCs w:val="28"/>
        </w:rPr>
        <w:t>耘智惠农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28"/>
          <w:szCs w:val="28"/>
          <w:lang w:eastAsia="zh-CN"/>
        </w:rPr>
        <w:t>—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28"/>
          <w:szCs w:val="28"/>
        </w:rPr>
        <w:t>面向农户生产经营的多智能体智慧农业服务平台</w:t>
      </w:r>
    </w:p>
    <w:p w14:paraId="514151B0"/>
    <w:p w14:paraId="51E7BCE1"/>
    <w:p w14:paraId="4245EBD0">
      <w:pPr>
        <w:rPr>
          <w:lang w:eastAsia="zh-CN"/>
        </w:rPr>
      </w:pPr>
    </w:p>
    <w:p w14:paraId="0F746FDE"/>
    <w:tbl>
      <w:tblPr>
        <w:tblStyle w:val="31"/>
        <w:tblpPr w:leftFromText="180" w:rightFromText="180" w:vertAnchor="page" w:horzAnchor="page" w:tblpXSpec="center" w:tblpY="1117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5139"/>
      </w:tblGrid>
      <w:tr w14:paraId="1F64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2721" w:type="dxa"/>
            <w:tcBorders>
              <w:top w:val="nil"/>
              <w:left w:val="nil"/>
              <w:bottom w:val="single" w:color="FFFFFF" w:sz="12" w:space="0"/>
              <w:right w:val="nil"/>
            </w:tcBorders>
            <w:vAlign w:val="center"/>
          </w:tcPr>
          <w:p w14:paraId="00F4614F">
            <w:pPr>
              <w:spacing w:line="240" w:lineRule="auto"/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36"/>
                <w:szCs w:val="24"/>
                <w:lang w:eastAsia="zh-CN"/>
              </w:rPr>
            </w:pPr>
            <w:r>
              <w:rPr>
                <w:rFonts w:eastAsia="微软雅黑"/>
                <w:b/>
                <w:color w:val="FFFFFF"/>
                <w:sz w:val="24"/>
              </w:rPr>
              <w:t>赛      道：</w:t>
            </w:r>
          </w:p>
        </w:tc>
        <w:tc>
          <w:tcPr>
            <w:tcW w:w="5139" w:type="dxa"/>
            <w:tcBorders>
              <w:top w:val="nil"/>
              <w:left w:val="nil"/>
              <w:bottom w:val="single" w:color="FFFFFF" w:sz="12" w:space="0"/>
              <w:right w:val="nil"/>
            </w:tcBorders>
            <w:vAlign w:val="center"/>
          </w:tcPr>
          <w:p w14:paraId="3A45B604">
            <w:pPr>
              <w:spacing w:line="240" w:lineRule="auto"/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36"/>
                <w:szCs w:val="36"/>
                <w:lang w:eastAsia="zh-CN"/>
              </w:rPr>
            </w:pPr>
            <w:r>
              <w:rPr>
                <w:rFonts w:eastAsia="微软雅黑"/>
                <w:b/>
                <w:color w:val="FFFFFF"/>
                <w:sz w:val="23"/>
              </w:rPr>
              <w:t>乡村振兴和农业农村现代化</w:t>
            </w:r>
          </w:p>
        </w:tc>
      </w:tr>
    </w:tbl>
    <w:p w14:paraId="71407AB5">
      <w:pPr>
        <w:rPr>
          <w:lang w:eastAsia="zh-CN"/>
        </w:rPr>
      </w:pPr>
    </w:p>
    <w:p w14:paraId="51B05542">
      <w:pPr>
        <w:rPr>
          <w:lang w:eastAsia="zh-CN"/>
        </w:rPr>
      </w:pPr>
    </w:p>
    <w:p w14:paraId="74C3A734">
      <w:pPr>
        <w:rPr>
          <w:lang w:eastAsia="zh-CN"/>
        </w:rPr>
      </w:pPr>
    </w:p>
    <w:p w14:paraId="10F27B1E">
      <w:pPr>
        <w:pStyle w:val="101"/>
      </w:pPr>
    </w:p>
    <w:p w14:paraId="4169DFE0">
      <w:pPr>
        <w:pStyle w:val="101"/>
      </w:pPr>
    </w:p>
    <w:p w14:paraId="15BE7423">
      <w:pPr>
        <w:pStyle w:val="101"/>
      </w:pPr>
    </w:p>
    <w:p w14:paraId="467A1B6F">
      <w:pPr>
        <w:pStyle w:val="101"/>
      </w:pPr>
    </w:p>
    <w:p w14:paraId="557B5E6B">
      <w:pPr>
        <w:pStyle w:val="101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984" w:right="1587" w:bottom="1984" w:left="1587" w:header="851" w:footer="992" w:gutter="0"/>
          <w:cols w:space="720" w:num="1"/>
          <w:docGrid w:type="lines" w:linePitch="330" w:charSpace="0"/>
        </w:sectPr>
      </w:pPr>
    </w:p>
    <w:p w14:paraId="78E21AB1">
      <w:pPr>
        <w:keepNext/>
        <w:spacing w:before="120" w:after="360"/>
        <w:ind w:firstLine="720"/>
        <w:jc w:val="center"/>
      </w:pPr>
      <w:r>
        <w:rPr>
          <w:rFonts w:eastAsia="黑体"/>
          <w:color w:val="0B3558"/>
          <w:sz w:val="36"/>
        </w:rPr>
        <w:t>目    录</w:t>
      </w:r>
    </w:p>
    <w:p w14:paraId="0F8333E5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rPr>
          <w:rFonts w:eastAsia="宋体"/>
        </w:rP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_Toc29523 </w:instrText>
      </w:r>
      <w:r>
        <w:fldChar w:fldCharType="separate"/>
      </w:r>
      <w:r>
        <w:t>一、执行摘要</w:t>
      </w:r>
      <w:r>
        <w:tab/>
      </w:r>
      <w:r>
        <w:fldChar w:fldCharType="begin"/>
      </w:r>
      <w:r>
        <w:instrText xml:space="preserve"> PAGEREF _Toc29523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10FF9A4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_Toc4873 </w:instrText>
      </w:r>
      <w:r>
        <w:fldChar w:fldCharType="separate"/>
      </w:r>
      <w:r>
        <w:t>二、项目概述</w:t>
      </w:r>
      <w:r>
        <w:tab/>
      </w:r>
      <w:r>
        <w:fldChar w:fldCharType="begin"/>
      </w:r>
      <w:r>
        <w:instrText xml:space="preserve"> PAGEREF _Toc4873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C0AC68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_Toc13180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项目背景</w:t>
      </w:r>
      <w:r>
        <w:tab/>
      </w:r>
      <w:r>
        <w:fldChar w:fldCharType="begin"/>
      </w:r>
      <w:r>
        <w:instrText xml:space="preserve"> PAGEREF _Toc13180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F5D03E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_Toc11091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项目</w:t>
      </w:r>
      <w:r>
        <w:rPr>
          <w:rFonts w:hint="eastAsia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_Toc11091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03CF77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_Toc28781 </w:instrText>
      </w:r>
      <w:r>
        <w:fldChar w:fldCharType="separate"/>
      </w:r>
      <w:r>
        <w:rPr>
          <w:rFonts w:hint="eastAsia"/>
          <w:lang w:val="en-US" w:eastAsia="zh-CN"/>
        </w:rPr>
        <w:t>2.3</w:t>
      </w:r>
      <w:r>
        <w:t xml:space="preserve"> </w:t>
      </w:r>
      <w:r>
        <w:rPr>
          <w:rFonts w:hint="eastAsia"/>
          <w:lang w:val="en-US" w:eastAsia="zh-CN"/>
        </w:rPr>
        <w:t>项目应用</w:t>
      </w:r>
      <w:r>
        <w:tab/>
      </w:r>
      <w:r>
        <w:fldChar w:fldCharType="begin"/>
      </w:r>
      <w:r>
        <w:instrText xml:space="preserve"> PAGEREF _Toc28781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CD9991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_Toc12977 </w:instrText>
      </w:r>
      <w:r>
        <w:fldChar w:fldCharType="separate"/>
      </w:r>
      <w:r>
        <w:rPr>
          <w:rFonts w:hint="eastAsia"/>
          <w:lang w:val="en-US" w:eastAsia="zh-CN"/>
        </w:rPr>
        <w:t>2.4</w:t>
      </w:r>
      <w:r>
        <w:t xml:space="preserve"> </w:t>
      </w:r>
      <w:r>
        <w:rPr>
          <w:rFonts w:hint="eastAsia" w:ascii="楷体" w:hAnsi="楷体" w:eastAsia="楷体" w:cs="楷体"/>
          <w:szCs w:val="32"/>
        </w:rPr>
        <w:t>社会价值</w:t>
      </w:r>
      <w:r>
        <w:tab/>
      </w:r>
      <w:r>
        <w:fldChar w:fldCharType="begin"/>
      </w:r>
      <w:r>
        <w:instrText xml:space="preserve"> PAGEREF _Toc12977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322C01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_Toc12508 </w:instrText>
      </w:r>
      <w:r>
        <w:fldChar w:fldCharType="separate"/>
      </w:r>
      <w:r>
        <w:t>三、项目优势</w:t>
      </w:r>
      <w:r>
        <w:tab/>
      </w:r>
      <w:r>
        <w:fldChar w:fldCharType="begin"/>
      </w:r>
      <w:r>
        <w:instrText xml:space="preserve"> PAGEREF _Toc12508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2A50830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_Toc14949 </w:instrText>
      </w:r>
      <w:r>
        <w:fldChar w:fldCharType="separate"/>
      </w:r>
      <w:r>
        <w:t>1. 产品与服务体系</w:t>
      </w:r>
      <w:r>
        <w:tab/>
      </w:r>
      <w:r>
        <w:fldChar w:fldCharType="begin"/>
      </w:r>
      <w:r>
        <w:instrText xml:space="preserve"> PAGEREF _Toc14949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553F43B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_Toc22754 </w:instrText>
      </w:r>
      <w:r>
        <w:fldChar w:fldCharType="separate"/>
      </w:r>
      <w:r>
        <w:t>2. 技术原理</w:t>
      </w:r>
      <w:r>
        <w:tab/>
      </w:r>
      <w:r>
        <w:fldChar w:fldCharType="begin"/>
      </w:r>
      <w:r>
        <w:instrText xml:space="preserve"> PAGEREF _Toc22754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6A7A40E">
      <w:pPr>
        <w:pStyle w:val="18"/>
        <w:tabs>
          <w:tab w:val="right" w:leader="dot" w:pos="8732"/>
        </w:tabs>
      </w:pPr>
      <w:r>
        <w:fldChar w:fldCharType="begin"/>
      </w:r>
      <w:r>
        <w:instrText xml:space="preserve"> HYPERLINK \l _Toc13970 </w:instrText>
      </w:r>
      <w:r>
        <w:fldChar w:fldCharType="separate"/>
      </w:r>
      <w:r>
        <w:t>2.1 多智能体任务协同</w:t>
      </w:r>
      <w:r>
        <w:tab/>
      </w:r>
      <w:r>
        <w:fldChar w:fldCharType="begin"/>
      </w:r>
      <w:r>
        <w:instrText xml:space="preserve"> PAGEREF _Toc13970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F9152CC">
      <w:pPr>
        <w:pStyle w:val="18"/>
        <w:tabs>
          <w:tab w:val="right" w:leader="dot" w:pos="8732"/>
        </w:tabs>
      </w:pPr>
      <w:r>
        <w:fldChar w:fldCharType="begin"/>
      </w:r>
      <w:r>
        <w:instrText xml:space="preserve"> HYPERLINK \l _Toc29369 </w:instrText>
      </w:r>
      <w:r>
        <w:fldChar w:fldCharType="separate"/>
      </w:r>
      <w:r>
        <w:t>2.2 农业知识增强检索</w:t>
      </w:r>
      <w:r>
        <w:tab/>
      </w:r>
      <w:r>
        <w:fldChar w:fldCharType="begin"/>
      </w:r>
      <w:r>
        <w:instrText xml:space="preserve"> PAGEREF _Toc29369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EF11879">
      <w:pPr>
        <w:pStyle w:val="18"/>
        <w:tabs>
          <w:tab w:val="right" w:leader="dot" w:pos="8732"/>
        </w:tabs>
      </w:pPr>
      <w:r>
        <w:fldChar w:fldCharType="begin"/>
      </w:r>
      <w:r>
        <w:instrText xml:space="preserve"> HYPERLINK \l _Toc31889 </w:instrText>
      </w:r>
      <w:r>
        <w:fldChar w:fldCharType="separate"/>
      </w:r>
      <w:r>
        <w:t>2.3 工具与外部信息连接</w:t>
      </w:r>
      <w:r>
        <w:tab/>
      </w:r>
      <w:r>
        <w:fldChar w:fldCharType="begin"/>
      </w:r>
      <w:r>
        <w:instrText xml:space="preserve"> PAGEREF _Toc31889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5D71E8D">
      <w:pPr>
        <w:pStyle w:val="18"/>
        <w:tabs>
          <w:tab w:val="right" w:leader="dot" w:pos="8732"/>
        </w:tabs>
      </w:pPr>
      <w:r>
        <w:fldChar w:fldCharType="begin"/>
      </w:r>
      <w:r>
        <w:instrText xml:space="preserve"> HYPERLINK \l _Toc10838 </w:instrText>
      </w:r>
      <w:r>
        <w:fldChar w:fldCharType="separate"/>
      </w:r>
      <w:r>
        <w:t>2.4 农场上下文与数据隔离</w:t>
      </w:r>
      <w:r>
        <w:tab/>
      </w:r>
      <w:r>
        <w:fldChar w:fldCharType="begin"/>
      </w:r>
      <w:r>
        <w:instrText xml:space="preserve"> PAGEREF _Toc10838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0FC9BAA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_Toc27792 </w:instrText>
      </w:r>
      <w:r>
        <w:fldChar w:fldCharType="separate"/>
      </w:r>
      <w:r>
        <w:t>3. 核心创新点</w:t>
      </w:r>
      <w:r>
        <w:tab/>
      </w:r>
      <w:r>
        <w:fldChar w:fldCharType="begin"/>
      </w:r>
      <w:r>
        <w:instrText xml:space="preserve"> PAGEREF _Toc27792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CDE0E8D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_Toc31474 </w:instrText>
      </w:r>
      <w:r>
        <w:fldChar w:fldCharType="separate"/>
      </w:r>
      <w:r>
        <w:t>4. 技术可行性与成熟度</w:t>
      </w:r>
      <w:r>
        <w:tab/>
      </w:r>
      <w:r>
        <w:fldChar w:fldCharType="begin"/>
      </w:r>
      <w:r>
        <w:instrText xml:space="preserve"> PAGEREF _Toc31474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2A1BE79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_Toc27017 </w:instrText>
      </w:r>
      <w:r>
        <w:fldChar w:fldCharType="separate"/>
      </w:r>
      <w:r>
        <w:t>5. 可持续竞争力</w:t>
      </w:r>
      <w:r>
        <w:tab/>
      </w:r>
      <w:r>
        <w:fldChar w:fldCharType="begin"/>
      </w:r>
      <w:r>
        <w:instrText xml:space="preserve"> PAGEREF _Toc27017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7FB0C05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_Toc17855 </w:instrText>
      </w:r>
      <w:r>
        <w:fldChar w:fldCharType="separate"/>
      </w:r>
      <w:r>
        <w:t>四、市场分析</w:t>
      </w:r>
      <w:r>
        <w:tab/>
      </w:r>
      <w:r>
        <w:fldChar w:fldCharType="begin"/>
      </w:r>
      <w:r>
        <w:instrText xml:space="preserve"> PAGEREF _Toc17855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6200DFD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_Toc6549 </w:instrText>
      </w:r>
      <w:r>
        <w:fldChar w:fldCharType="separate"/>
      </w:r>
      <w:r>
        <w:t>1. 行业与政策环境</w:t>
      </w:r>
      <w:r>
        <w:tab/>
      </w:r>
      <w:r>
        <w:fldChar w:fldCharType="begin"/>
      </w:r>
      <w:r>
        <w:instrText xml:space="preserve"> PAGEREF _Toc6549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2D88E40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_Toc860 </w:instrText>
      </w:r>
      <w:r>
        <w:fldChar w:fldCharType="separate"/>
      </w:r>
      <w:r>
        <w:t>2. 市场需求基础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BF70D21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_Toc31263 </w:instrText>
      </w:r>
      <w:r>
        <w:fldChar w:fldCharType="separate"/>
      </w:r>
      <w:r>
        <w:t>3. 目标市场测算</w:t>
      </w:r>
      <w:r>
        <w:tab/>
      </w:r>
      <w:r>
        <w:fldChar w:fldCharType="begin"/>
      </w:r>
      <w:r>
        <w:instrText xml:space="preserve"> PAGEREF _Toc31263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CD9EB11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_Toc3519 </w:instrText>
      </w:r>
      <w:r>
        <w:fldChar w:fldCharType="separate"/>
      </w:r>
      <w:r>
        <w:t>4. 客户痛点与采购逻辑</w:t>
      </w:r>
      <w:r>
        <w:tab/>
      </w:r>
      <w:r>
        <w:fldChar w:fldCharType="begin"/>
      </w:r>
      <w:r>
        <w:instrText xml:space="preserve"> PAGEREF _Toc3519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0FA7F1C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_Toc28305 </w:instrText>
      </w:r>
      <w:r>
        <w:fldChar w:fldCharType="separate"/>
      </w:r>
      <w:r>
        <w:t>5. 竞争格局</w:t>
      </w:r>
      <w:r>
        <w:tab/>
      </w:r>
      <w:r>
        <w:fldChar w:fldCharType="begin"/>
      </w:r>
      <w:r>
        <w:instrText xml:space="preserve"> PAGEREF _Toc28305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50AFDD3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_Toc11959 </w:instrText>
      </w:r>
      <w:r>
        <w:fldChar w:fldCharType="separate"/>
      </w:r>
      <w:r>
        <w:t>6. 主要数据来源</w:t>
      </w:r>
      <w:r>
        <w:tab/>
      </w:r>
      <w:r>
        <w:fldChar w:fldCharType="begin"/>
      </w:r>
      <w:r>
        <w:instrText xml:space="preserve"> PAGEREF _Toc11959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00EE902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_Toc25955 </w:instrText>
      </w:r>
      <w:r>
        <w:fldChar w:fldCharType="separate"/>
      </w:r>
      <w:r>
        <w:t>五、商业模式</w:t>
      </w:r>
      <w:r>
        <w:tab/>
      </w:r>
      <w:r>
        <w:fldChar w:fldCharType="begin"/>
      </w:r>
      <w:r>
        <w:instrText xml:space="preserve"> PAGEREF _Toc25955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192BD73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_Toc16178 </w:instrText>
      </w:r>
      <w:r>
        <w:fldChar w:fldCharType="separate"/>
      </w:r>
      <w:r>
        <w:t>1. 核心价值主张</w:t>
      </w:r>
      <w:r>
        <w:tab/>
      </w:r>
      <w:r>
        <w:fldChar w:fldCharType="begin"/>
      </w:r>
      <w:r>
        <w:instrText xml:space="preserve"> PAGEREF _Toc16178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C0A1522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_Toc20159 </w:instrText>
      </w:r>
      <w:r>
        <w:fldChar w:fldCharType="separate"/>
      </w:r>
      <w:r>
        <w:t>2. 盈利模式与定价</w:t>
      </w:r>
      <w:r>
        <w:tab/>
      </w:r>
      <w:r>
        <w:fldChar w:fldCharType="begin"/>
      </w:r>
      <w:r>
        <w:instrText xml:space="preserve"> PAGEREF _Toc20159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C7B94B9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_Toc17889 </w:instrText>
      </w:r>
      <w:r>
        <w:fldChar w:fldCharType="separate"/>
      </w:r>
      <w:r>
        <w:t>3. 运营模式</w:t>
      </w:r>
      <w:r>
        <w:tab/>
      </w:r>
      <w:r>
        <w:fldChar w:fldCharType="begin"/>
      </w:r>
      <w:r>
        <w:instrText xml:space="preserve"> PAGEREF _Toc17889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284E5E4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_Toc14604 </w:instrText>
      </w:r>
      <w:r>
        <w:fldChar w:fldCharType="separate"/>
      </w:r>
      <w:r>
        <w:t>4. 营销策略</w:t>
      </w:r>
      <w:r>
        <w:tab/>
      </w:r>
      <w:r>
        <w:fldChar w:fldCharType="begin"/>
      </w:r>
      <w:r>
        <w:instrText xml:space="preserve"> PAGEREF _Toc14604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40FEDBD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_Toc14339 </w:instrText>
      </w:r>
      <w:r>
        <w:fldChar w:fldCharType="separate"/>
      </w:r>
      <w:r>
        <w:t>5. 合作伙伴体系</w:t>
      </w:r>
      <w:r>
        <w:tab/>
      </w:r>
      <w:r>
        <w:fldChar w:fldCharType="begin"/>
      </w:r>
      <w:r>
        <w:instrText xml:space="preserve"> PAGEREF _Toc14339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3EAE5A8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_Toc19241 </w:instrText>
      </w:r>
      <w:r>
        <w:fldChar w:fldCharType="separate"/>
      </w:r>
      <w:r>
        <w:t>6. 关键经营指标</w:t>
      </w:r>
      <w:r>
        <w:tab/>
      </w:r>
      <w:r>
        <w:fldChar w:fldCharType="begin"/>
      </w:r>
      <w:r>
        <w:instrText xml:space="preserve"> PAGEREF _Toc19241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96C68AC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_Toc21834 </w:instrText>
      </w:r>
      <w:r>
        <w:fldChar w:fldCharType="separate"/>
      </w:r>
      <w:r>
        <w:t>六、团队介绍</w:t>
      </w:r>
      <w:r>
        <w:tab/>
      </w:r>
      <w:r>
        <w:fldChar w:fldCharType="begin"/>
      </w:r>
      <w:r>
        <w:instrText xml:space="preserve"> PAGEREF _Toc21834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31E86FA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_Toc20762 </w:instrText>
      </w:r>
      <w:r>
        <w:fldChar w:fldCharType="separate"/>
      </w:r>
      <w:r>
        <w:t>1. 团队组成</w:t>
      </w:r>
      <w:r>
        <w:tab/>
      </w:r>
      <w:r>
        <w:fldChar w:fldCharType="begin"/>
      </w:r>
      <w:r>
        <w:instrText xml:space="preserve"> PAGEREF _Toc20762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6008932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_Toc8259 </w:instrText>
      </w:r>
      <w:r>
        <w:fldChar w:fldCharType="separate"/>
      </w:r>
      <w:r>
        <w:t>2. 能力匹配</w:t>
      </w:r>
      <w:r>
        <w:tab/>
      </w:r>
      <w:r>
        <w:fldChar w:fldCharType="begin"/>
      </w:r>
      <w:r>
        <w:instrText xml:space="preserve"> PAGEREF _Toc8259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439B708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_Toc30574 </w:instrText>
      </w:r>
      <w:r>
        <w:fldChar w:fldCharType="separate"/>
      </w:r>
      <w:r>
        <w:t>3. 分工协作机制</w:t>
      </w:r>
      <w:r>
        <w:tab/>
      </w:r>
      <w:r>
        <w:fldChar w:fldCharType="begin"/>
      </w:r>
      <w:r>
        <w:instrText xml:space="preserve"> PAGEREF _Toc30574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489AAB6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_Toc16040 </w:instrText>
      </w:r>
      <w:r>
        <w:fldChar w:fldCharType="separate"/>
      </w:r>
      <w:r>
        <w:t>4. 顾问与人才计划</w:t>
      </w:r>
      <w:r>
        <w:tab/>
      </w:r>
      <w:r>
        <w:fldChar w:fldCharType="begin"/>
      </w:r>
      <w:r>
        <w:instrText xml:space="preserve"> PAGEREF _Toc16040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CF7A12E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_Toc10620 </w:instrText>
      </w:r>
      <w:r>
        <w:fldChar w:fldCharType="separate"/>
      </w:r>
      <w:r>
        <w:t>七、财务分析</w:t>
      </w:r>
      <w:r>
        <w:tab/>
      </w:r>
      <w:r>
        <w:fldChar w:fldCharType="begin"/>
      </w:r>
      <w:r>
        <w:instrText xml:space="preserve"> PAGEREF _Toc10620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4E4E03E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_Toc31683 </w:instrText>
      </w:r>
      <w:r>
        <w:fldChar w:fldCharType="separate"/>
      </w:r>
      <w:r>
        <w:t>1. 测算原则与关键假设</w:t>
      </w:r>
      <w:r>
        <w:tab/>
      </w:r>
      <w:r>
        <w:fldChar w:fldCharType="begin"/>
      </w:r>
      <w:r>
        <w:instrText xml:space="preserve"> PAGEREF _Toc31683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AE5E4D8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_Toc4844 </w:instrText>
      </w:r>
      <w:r>
        <w:fldChar w:fldCharType="separate"/>
      </w:r>
      <w:r>
        <w:t>2. 三年收入预测</w:t>
      </w:r>
      <w:r>
        <w:tab/>
      </w:r>
      <w:r>
        <w:fldChar w:fldCharType="begin"/>
      </w:r>
      <w:r>
        <w:instrText xml:space="preserve"> PAGEREF _Toc4844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0893308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_Toc3687 </w:instrText>
      </w:r>
      <w:r>
        <w:fldChar w:fldCharType="separate"/>
      </w:r>
      <w:r>
        <w:t>3. 成本与盈利预测</w:t>
      </w:r>
      <w:r>
        <w:tab/>
      </w:r>
      <w:r>
        <w:fldChar w:fldCharType="begin"/>
      </w:r>
      <w:r>
        <w:instrText xml:space="preserve"> PAGEREF _Toc3687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9C17FB2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_Toc22594 </w:instrText>
      </w:r>
      <w:r>
        <w:fldChar w:fldCharType="separate"/>
      </w:r>
      <w:r>
        <w:t>4. 成本结构与控制措施</w:t>
      </w:r>
      <w:r>
        <w:tab/>
      </w:r>
      <w:r>
        <w:fldChar w:fldCharType="begin"/>
      </w:r>
      <w:r>
        <w:instrText xml:space="preserve"> PAGEREF _Toc22594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44E3F94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_Toc2104 </w:instrText>
      </w:r>
      <w:r>
        <w:fldChar w:fldCharType="separate"/>
      </w:r>
      <w:r>
        <w:t>5. 现金流与敏感性</w:t>
      </w:r>
      <w:r>
        <w:tab/>
      </w:r>
      <w:r>
        <w:fldChar w:fldCharType="begin"/>
      </w:r>
      <w:r>
        <w:instrText xml:space="preserve"> PAGEREF _Toc2104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77E5B0E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_Toc18548 </w:instrText>
      </w:r>
      <w:r>
        <w:fldChar w:fldCharType="separate"/>
      </w:r>
      <w:r>
        <w:t>八、融资需求</w:t>
      </w:r>
      <w:r>
        <w:tab/>
      </w:r>
      <w:r>
        <w:fldChar w:fldCharType="begin"/>
      </w:r>
      <w:r>
        <w:instrText xml:space="preserve"> PAGEREF _Toc18548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0525770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_Toc27993 </w:instrText>
      </w:r>
      <w:r>
        <w:fldChar w:fldCharType="separate"/>
      </w:r>
      <w:r>
        <w:t>1. 融资现状与计划</w:t>
      </w:r>
      <w:r>
        <w:tab/>
      </w:r>
      <w:r>
        <w:fldChar w:fldCharType="begin"/>
      </w:r>
      <w:r>
        <w:instrText xml:space="preserve"> PAGEREF _Toc27993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E42DD86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t>2. 资金使用计划</w:t>
      </w:r>
      <w:r>
        <w:tab/>
      </w:r>
      <w:r>
        <w:fldChar w:fldCharType="begin"/>
      </w:r>
      <w:r>
        <w:instrText xml:space="preserve"> PAGEREF _Toc3084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DD28B75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_Toc3389 </w:instrText>
      </w:r>
      <w:r>
        <w:fldChar w:fldCharType="separate"/>
      </w:r>
      <w:r>
        <w:t>3. 拟设股权与治理结构</w:t>
      </w:r>
      <w:r>
        <w:tab/>
      </w:r>
      <w:r>
        <w:fldChar w:fldCharType="begin"/>
      </w:r>
      <w:r>
        <w:instrText xml:space="preserve"> PAGEREF _Toc3389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1EF8EE3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_Toc8578 </w:instrText>
      </w:r>
      <w:r>
        <w:fldChar w:fldCharType="separate"/>
      </w:r>
      <w:r>
        <w:t>4. 融资后目标</w:t>
      </w:r>
      <w:r>
        <w:tab/>
      </w:r>
      <w:r>
        <w:fldChar w:fldCharType="begin"/>
      </w:r>
      <w:r>
        <w:instrText xml:space="preserve"> PAGEREF _Toc8578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7D99798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_Toc19995 </w:instrText>
      </w:r>
      <w:r>
        <w:fldChar w:fldCharType="separate"/>
      </w:r>
      <w:r>
        <w:t>5. 投资退出机制</w:t>
      </w:r>
      <w:r>
        <w:tab/>
      </w:r>
      <w:r>
        <w:fldChar w:fldCharType="begin"/>
      </w:r>
      <w:r>
        <w:instrText xml:space="preserve"> PAGEREF _Toc19995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A9505B9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_Toc14658 </w:instrText>
      </w:r>
      <w:r>
        <w:fldChar w:fldCharType="separate"/>
      </w:r>
      <w:r>
        <w:t>九、风险控制</w:t>
      </w:r>
      <w:r>
        <w:tab/>
      </w:r>
      <w:r>
        <w:fldChar w:fldCharType="begin"/>
      </w:r>
      <w:r>
        <w:instrText xml:space="preserve"> PAGEREF _Toc14658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5230F35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_Toc23908 </w:instrText>
      </w:r>
      <w:r>
        <w:fldChar w:fldCharType="separate"/>
      </w:r>
      <w:r>
        <w:t>1. 风险矩阵</w:t>
      </w:r>
      <w:r>
        <w:tab/>
      </w:r>
      <w:r>
        <w:fldChar w:fldCharType="begin"/>
      </w:r>
      <w:r>
        <w:instrText xml:space="preserve"> PAGEREF _Toc23908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8D23583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_Toc22253 </w:instrText>
      </w:r>
      <w:r>
        <w:fldChar w:fldCharType="separate"/>
      </w:r>
      <w:r>
        <w:t>2. 技术与安全风险</w:t>
      </w:r>
      <w:r>
        <w:tab/>
      </w:r>
      <w:r>
        <w:fldChar w:fldCharType="begin"/>
      </w:r>
      <w:r>
        <w:instrText xml:space="preserve"> PAGEREF _Toc22253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6B55A66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_Toc13432 </w:instrText>
      </w:r>
      <w:r>
        <w:fldChar w:fldCharType="separate"/>
      </w:r>
      <w:r>
        <w:t>3. 市场与运营风险</w:t>
      </w:r>
      <w:r>
        <w:tab/>
      </w:r>
      <w:r>
        <w:fldChar w:fldCharType="begin"/>
      </w:r>
      <w:r>
        <w:instrText xml:space="preserve"> PAGEREF _Toc13432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F3A447A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_Toc2455 </w:instrText>
      </w:r>
      <w:r>
        <w:fldChar w:fldCharType="separate"/>
      </w:r>
      <w:r>
        <w:t>4. 财务与融资风险</w:t>
      </w:r>
      <w:r>
        <w:tab/>
      </w:r>
      <w:r>
        <w:fldChar w:fldCharType="begin"/>
      </w:r>
      <w:r>
        <w:instrText xml:space="preserve"> PAGEREF _Toc2455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F8BA279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_Toc7272 </w:instrText>
      </w:r>
      <w:r>
        <w:fldChar w:fldCharType="separate"/>
      </w:r>
      <w:r>
        <w:t>5. 合规与伦理边界</w:t>
      </w:r>
      <w:r>
        <w:tab/>
      </w:r>
      <w:r>
        <w:fldChar w:fldCharType="begin"/>
      </w:r>
      <w:r>
        <w:instrText xml:space="preserve"> PAGEREF _Toc7272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A5989B3">
      <w:pPr>
        <w:pStyle w:val="22"/>
        <w:tabs>
          <w:tab w:val="right" w:leader="dot" w:pos="8732"/>
          <w:tab w:val="clear" w:pos="9060"/>
        </w:tabs>
      </w:pPr>
      <w:r>
        <w:fldChar w:fldCharType="begin"/>
      </w:r>
      <w:r>
        <w:instrText xml:space="preserve"> HYPERLINK \l _Toc23318 </w:instrText>
      </w:r>
      <w:r>
        <w:fldChar w:fldCharType="separate"/>
      </w:r>
      <w:r>
        <w:t>十、未来展望</w:t>
      </w:r>
      <w:r>
        <w:tab/>
      </w:r>
      <w:r>
        <w:fldChar w:fldCharType="begin"/>
      </w:r>
      <w:r>
        <w:instrText xml:space="preserve"> PAGEREF _Toc23318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6284533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_Toc28825 </w:instrText>
      </w:r>
      <w:r>
        <w:fldChar w:fldCharType="separate"/>
      </w:r>
      <w:r>
        <w:t>1. 未来一年规划</w:t>
      </w:r>
      <w:r>
        <w:tab/>
      </w:r>
      <w:r>
        <w:fldChar w:fldCharType="begin"/>
      </w:r>
      <w:r>
        <w:instrText xml:space="preserve"> PAGEREF _Toc28825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3C387715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_Toc22169 </w:instrText>
      </w:r>
      <w:r>
        <w:fldChar w:fldCharType="separate"/>
      </w:r>
      <w:r>
        <w:t>2. 三年发展规划</w:t>
      </w:r>
      <w:r>
        <w:tab/>
      </w:r>
      <w:r>
        <w:fldChar w:fldCharType="begin"/>
      </w:r>
      <w:r>
        <w:instrText xml:space="preserve"> PAGEREF _Toc22169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486B6BA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_Toc8047 </w:instrText>
      </w:r>
      <w:r>
        <w:fldChar w:fldCharType="separate"/>
      </w:r>
      <w:r>
        <w:t>3. 长期愿景</w:t>
      </w:r>
      <w:r>
        <w:tab/>
      </w:r>
      <w:r>
        <w:fldChar w:fldCharType="begin"/>
      </w:r>
      <w:r>
        <w:instrText xml:space="preserve"> PAGEREF _Toc8047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F76B43F"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_Toc18718 </w:instrText>
      </w:r>
      <w:r>
        <w:fldChar w:fldCharType="separate"/>
      </w:r>
      <w:r>
        <w:t>4. 结语</w:t>
      </w:r>
      <w:r>
        <w:tab/>
      </w:r>
      <w:r>
        <w:fldChar w:fldCharType="begin"/>
      </w:r>
      <w:r>
        <w:instrText xml:space="preserve"> PAGEREF _Toc18718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526E0C1">
      <w:pPr>
        <w:jc w:val="left"/>
      </w:pPr>
      <w:r>
        <w:fldChar w:fldCharType="end"/>
      </w:r>
    </w:p>
    <w:p w14:paraId="0F8907AF">
      <w:pPr>
        <w:sectPr>
          <w:footerReference r:id="rId11" w:type="default"/>
          <w:pgSz w:w="11906" w:h="16838"/>
          <w:pgMar w:top="1984" w:right="1587" w:bottom="1984" w:left="1587" w:header="851" w:footer="992" w:gutter="0"/>
          <w:pgNumType w:start="1"/>
          <w:cols w:space="720" w:num="1"/>
          <w:docGrid w:type="lines" w:linePitch="330" w:charSpace="0"/>
        </w:sectPr>
      </w:pPr>
    </w:p>
    <w:p w14:paraId="16F88790">
      <w:pPr>
        <w:pStyle w:val="2"/>
        <w:ind w:firstLine="640"/>
        <w:rPr>
          <w:color w:val="000000" w:themeColor="text1"/>
        </w:rPr>
      </w:pPr>
      <w:bookmarkStart w:id="0" w:name="_Toc29523"/>
      <w:r>
        <w:rPr>
          <w:color w:val="000000" w:themeColor="text1"/>
        </w:rPr>
        <w:t>一、执行摘要</w:t>
      </w:r>
      <w:bookmarkEnd w:id="0"/>
    </w:p>
    <w:p w14:paraId="5775619F">
      <w:r>
        <w:rPr>
          <w:rFonts w:hint="eastAsia" w:ascii="宋体" w:hAnsi="宋体" w:eastAsia="宋体" w:cs="宋体"/>
          <w:b w:val="0"/>
          <w:bCs w:val="0"/>
          <w:color w:val="000000" w:themeColor="text1"/>
          <w:sz w:val="28"/>
          <w:szCs w:val="28"/>
        </w:rPr>
        <w:t>耘智惠农</w:t>
      </w:r>
      <w:r>
        <w:t>是一款面向中小农场、农民专业合作社及基层农技服务机构的多智能体智慧农服平台，致力于通过人工智能技术降低农业数字化应用门槛，为农业生产与经营提供及时、专业、可追溯的决策支持。</w:t>
      </w:r>
    </w:p>
    <w:p w14:paraId="4D2F0773">
      <w:r>
        <w:t>中小农业经营主体最关心三件事：作物能否种得好、产品能否卖得出、经营能否赚得到。项目以“保产、促销、增收”为目标，形成“种得好、卖得出、赚得到”的价值主张，构建覆盖生产、决策与营销的一体化智慧农业服务体系。</w:t>
      </w:r>
    </w:p>
    <w:p w14:paraId="203D95D4">
      <w:r>
        <w:t>生产端，平台融合农业知识库、农场档案、天气与病虫害分析，为种植管理和风险判断提供辅助建议；销售端，整合市场行情、营销文案和AI短视频广告生成，让农产品卖点更易传播；经营端，连接价格、供需和经营分析，辅助用户判断销售时机、优化投入安排。</w:t>
      </w:r>
    </w:p>
    <w:p w14:paraId="75A9B1B1">
      <w:r>
        <w:t>平台采用“技能路由—任务规划—工具执行—结果复核”的多智能体机制，自动调用种植、天气、病虫害、知识、市场和营销技能。AI短视频广告生成功能可依据农产品品类、产地、卖点、受众和投放平台生成广告文案、脚本与分镜，并提交文生或图生短视频任务，降低宣传内容制作成本。</w:t>
      </w:r>
    </w:p>
    <w:p w14:paraId="0A12BEAD">
      <w:r>
        <w:t>目前，项目已完成可运行的Web端原型，具备权限管理、农场档案、农业问答、知识库、天气风险提示、市场分析、营销内容和AI视频任务管理等功能。系统通过农业知识检索、工具白名单、权限隔离和执行记录保障依据性、安全性与可追溯性，现处于场景验证阶段</w:t>
      </w:r>
      <w:r>
        <w:rPr>
          <w:rFonts w:hint="eastAsia"/>
          <w:lang w:val="en-US" w:eastAsia="zh-CN"/>
        </w:rPr>
        <w:t>和功能扩展阶段</w:t>
      </w:r>
      <w:r>
        <w:t>。</w:t>
      </w:r>
    </w:p>
    <w:p w14:paraId="0C29B191">
      <w:pPr>
        <w:rPr>
          <w:rFonts w:hint="default" w:eastAsia="宋体"/>
          <w:lang w:val="en-US" w:eastAsia="zh-CN"/>
        </w:rPr>
      </w:pPr>
      <w:r>
        <w:t>项目主要服务于</w:t>
      </w:r>
      <w:r>
        <w:rPr>
          <w:rFonts w:hint="eastAsia"/>
          <w:lang w:val="en-US" w:eastAsia="zh-CN"/>
        </w:rPr>
        <w:t>基层农业者和农场管理者，拟在通过课程培训等实践方式培训实践能力和转化能力，让每一个个体能够通过当今AI发展的便捷，做一个个人小微企业，掌握完整的流程，从农产品的种植、保收、到最后能赚到钱的一个闭环。</w:t>
      </w:r>
    </w:p>
    <w:p w14:paraId="368DBC6D">
      <w:pPr>
        <w:pStyle w:val="2"/>
        <w:pageBreakBefore/>
        <w:ind w:firstLine="64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4873"/>
      <w:r>
        <w:rPr>
          <w:color w:val="000000" w:themeColor="text1"/>
          <w14:textFill>
            <w14:solidFill>
              <w14:schemeClr w14:val="tx1"/>
            </w14:solidFill>
          </w14:textFill>
        </w:rPr>
        <w:t>二、项目概述</w:t>
      </w:r>
      <w:bookmarkEnd w:id="1"/>
    </w:p>
    <w:p w14:paraId="768276A3">
      <w:pPr>
        <w:pStyle w:val="3"/>
        <w:spacing w:before="16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13180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项目背景</w:t>
      </w:r>
      <w:bookmarkEnd w:id="2"/>
    </w:p>
    <w:p w14:paraId="060E51A4">
      <w:r>
        <w:t>农业生产具有地域差异大、季节性强、决策窗口短和风险来源多等特点。中小农场和合作社既要处理种植、植保、天气与农事安排，也要面对采购、销售、品牌传播和政策信息等经营问题。传统农技服务依赖线下专家和经验传递，服务半径、响应速度与标准化程度有限；大型智慧农业方案往往依赖传感器、专用设备和定制项目，建设与维护成本较高，难以覆盖数量众多、数字化基础不一的中小经营主体。</w:t>
      </w:r>
    </w:p>
    <w:p w14:paraId="243BFAEF">
      <w:pPr>
        <w:rPr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与此同时，我国农业数字化需求正在快速增长。截至2024年10月底，全国纳入名录系统的家庭农场已接近400万个，依法登记的农民专业合作社达到214万家，开展农业社会化服务的经营主体达到109.4万个，年服务小农户超过9400万户。截至2024年12月，我国农村网民规模达到3.13亿人。数量庞大的农业经营主体和不断完善的农村互联网基础，为低门槛、轻量化、普惠型数字农业服务提供了广阔的应用空间。</w:t>
      </w:r>
    </w:p>
    <w:p w14:paraId="6E5EAEF5">
      <w:r>
        <w:rPr>
          <w:rFonts w:ascii="宋体" w:hAnsi="宋体" w:eastAsia="宋体" w:cs="宋体"/>
          <w:sz w:val="28"/>
          <w:szCs w:val="28"/>
        </w:rPr>
        <w:t>生成式人工智能、多智能体协同、知识增强检索和AI视频生成等技术的发展，为解决上述问题提供了新的路径。然而，通用人工智能直接应用于农业场景仍存在知识依据不足、不了解具体农场情况、无法连接天气和行情等业务工具、生成结果难以复核等局限。因此，项目以中小农业经营主体的实际需求为出发点，提出“轻量化数字底座＋农业多智能体协同＋生成式AI营销”的解决方案，推动人工智能从简单问答工具升级为贯通农业生产、产品营销和经营增收的综合服务平台</w:t>
      </w:r>
      <w:r>
        <w:t>。</w:t>
      </w:r>
    </w:p>
    <w:p w14:paraId="3ADC2174">
      <w:pPr>
        <w:pStyle w:val="3"/>
        <w:spacing w:before="165"/>
        <w:rPr>
          <w:rFonts w:hint="eastAsia" w:eastAsia="楷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11091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项目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概述</w:t>
      </w:r>
      <w:bookmarkEnd w:id="3"/>
    </w:p>
    <w:p w14:paraId="29FC21D4">
      <w:r>
        <w:rPr>
          <w:rFonts w:ascii="宋体" w:hAnsi="宋体" w:eastAsia="宋体" w:cs="宋体"/>
          <w:sz w:val="28"/>
          <w:szCs w:val="28"/>
        </w:rPr>
        <w:t>耘智惠农是一款面向农民专业合作社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和</w:t>
      </w:r>
      <w:r>
        <w:rPr>
          <w:rFonts w:ascii="宋体" w:hAnsi="宋体" w:eastAsia="宋体" w:cs="宋体"/>
          <w:sz w:val="28"/>
          <w:szCs w:val="28"/>
        </w:rPr>
        <w:t>基层农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业从业者</w:t>
      </w:r>
      <w:r>
        <w:rPr>
          <w:rFonts w:ascii="宋体" w:hAnsi="宋体" w:eastAsia="宋体" w:cs="宋体"/>
          <w:sz w:val="28"/>
          <w:szCs w:val="28"/>
        </w:rPr>
        <w:t>的智能体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农业服务</w:t>
      </w:r>
      <w:r>
        <w:rPr>
          <w:rFonts w:ascii="宋体" w:hAnsi="宋体" w:eastAsia="宋体" w:cs="宋体"/>
          <w:sz w:val="28"/>
          <w:szCs w:val="28"/>
        </w:rPr>
        <w:t>平台。项目以“保产、促销、增收”为核心目标，形成“种得好、卖得出、赚得到”的价值主张，通过人工智能连接农业生产、市场营销与经营决策，构建覆盖农产品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从生产到经营</w:t>
      </w:r>
      <w:r>
        <w:rPr>
          <w:rFonts w:ascii="宋体" w:hAnsi="宋体" w:eastAsia="宋体" w:cs="宋体"/>
          <w:sz w:val="28"/>
          <w:szCs w:val="28"/>
        </w:rPr>
        <w:t>的完整服务闭环</w:t>
      </w:r>
      <w:r>
        <w:t>：</w:t>
      </w:r>
    </w:p>
    <w:p w14:paraId="5B424B88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保产方面，平台围绕“种得好”提供农业生产辅助服务。系统将农场、地块、作物、生育期等信息沉淀为数字档案，融合农业知识库、天气信息、病虫害分析和农事管理工具，为用户提供种植建议、天气风险提示、病虫害辅助排查和农事安排参考，帮助农业经营主体及时识别生产风险，提高农技服务的响应效率和规范化程度。</w:t>
      </w:r>
    </w:p>
    <w:p w14:paraId="35463B7B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促销方面，平台围绕“卖得出”引入生成式人工智能和AI短视频广告创作能力。用户只需输入农产品品类、产地、特色卖点、目标受众和投放平台，系统即可生成宣传文案、短视频脚本、镜头分镜及广告素材，并进一步调用文生视频或图生视频工具完成短视频广告创作。该功能能够降低农业经营主体进行内容策划和视频制作的技术门槛，让农产品特色以更加直观、生动和适合网络传播的方式触达消费者。</w:t>
      </w:r>
    </w:p>
    <w:p w14:paraId="45D70961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eastAsia="宋体"/>
          <w:lang w:val="en-US" w:eastAsia="zh-CN"/>
        </w:rPr>
      </w:pPr>
      <w:r>
        <w:t>在增收方面，平台围绕“赚得到”连接市场行情、供需信息、成本分析和营销效果。一方面，通过价格趋势和供需信息辅助用户判断销售时机、优化投入安排；另一方面，通过生成式AI批量生产营销内容，</w:t>
      </w:r>
      <w:r>
        <w:rPr>
          <w:rFonts w:hint="eastAsia"/>
          <w:lang w:val="en-US" w:eastAsia="zh-CN"/>
        </w:rPr>
        <w:t>判断广告投流时机，做到精准广告投流增加产品曝光度与卖点。</w:t>
      </w:r>
    </w:p>
    <w:p w14:paraId="7462242D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项目发展主要经历三个阶段：第一阶段围绕中小农业经营主体在生产、营销和经营方面的高频问题开展需求梳理，明确“保产、促销、增收”的产品方向；第二阶段完成多智能体架构、农业知识检索、农场档案和生成式营销等核心模块开发，形成前后端一体化的Web端原型；第三阶段进入场景验证准备阶段，重点完善农业知识审核、权限管理、执行记录、风险提示和AI视频任务管理等功能，为后续真实场景试点奠定基础。</w:t>
      </w:r>
    </w:p>
    <w:p w14:paraId="65BD65C2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目前，平台已经实现农业问答、种植建议、病虫害分析、天气风险提示、市场分析、营销内容生成和农业知识检索七类核心技能，并建立农场管理、地块管理、知识库、行情分析、营销工作台和AI视频任务管理等功能模块，初步具备从生产辅助到营销转化再到经营决策的闭环服务能力。</w:t>
      </w:r>
    </w:p>
    <w:p w14:paraId="422158C6">
      <w:pPr>
        <w:pStyle w:val="3"/>
        <w:spacing w:before="165"/>
        <w:rPr>
          <w:rFonts w:hint="default" w:eastAsia="楷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4" w:name="_Toc28781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项目应用</w:t>
      </w:r>
      <w:bookmarkEnd w:id="4"/>
    </w:p>
    <w:p w14:paraId="45333FF9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项目主要应用于农场生产管理、天气与农事决策、病虫害辅助分析、农产品营销和机构知识服务等场景。</w:t>
      </w:r>
    </w:p>
    <w:p w14:paraId="763F4BE1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生产管理场景中，农场负责人可以建立农场和地块档案，记录地理位置、种植面积、当前作物和生育阶段。智能体根据用户授权读取相关信息，在回答种植问题时自动结合农场实际情况，减少用户重复描述，使农技建议更加具有针对性。</w:t>
      </w:r>
    </w:p>
    <w:p w14:paraId="56F9B788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天气与农事决策场景中，当用户提出“未来几天是否需要灌溉”“明天是否适合喷药”等问题时，平台可调用天气信息和农业知识库，生成风险提示与农事建议。对于农药使用、自然灾害预警等高风险事项，平台明确提示用户核对当地气象预警、农药标签和农技人员意见，保障人工智能应用的安全边界。</w:t>
      </w:r>
    </w:p>
    <w:p w14:paraId="65C6C4D7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病虫害辅助分析场景中，用户可以通过文字描述或作物图片提交异常症状，平台结合农业知识库给出可能原因、进一步观察要点和分级处置建议。系统定位于辅助排查，不以单张图片进行无条件确诊，必要时引导用户联系当地植保人员开展现场诊断。</w:t>
      </w:r>
    </w:p>
    <w:p w14:paraId="4A80D331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在农产品营销场景中，用户可以输入农产品名称、产地特色、品质优势、目标消费者和投放渠道</w:t>
      </w:r>
      <w:r>
        <w:rPr>
          <w:rFonts w:hint="eastAsia"/>
          <w:lang w:val="en-US" w:eastAsia="zh-CN"/>
        </w:rPr>
        <w:t>和产品图片</w:t>
      </w:r>
      <w:r>
        <w:t>，由平台生成品牌文案、直播脚本、短视频脚本和镜头分镜，并进一步完成AI短视频广告创作。相关内容可应用于短视频平台、电商平台、社群营销和直播带货等渠道，帮助缺少专业营销团队的中小经营主体快速制作宣传素材。</w:t>
      </w:r>
    </w:p>
    <w:p w14:paraId="7316B16C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在机构知识服务场景中，合作社、农业企业和基层农技机构可以上传本地种植规程、生产标准和培训资料，形成权限可控的专属知识库。服务人员能够依据统一知识口径回答成员问题，推动农业经验由个人掌握转化为机构可积累、可更新、可复用的数字资产。</w:t>
      </w:r>
    </w:p>
    <w:p w14:paraId="23221A78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目前，项目已完成可运行的Web端原型，处于“产品原型完成、场景验证准备”阶段，尚未将规划中的客户数量、收入规模和社会效益作为既有成果。下一阶段，项目将采用</w:t>
      </w:r>
      <w:r>
        <w:rPr>
          <w:rFonts w:hint="eastAsia"/>
          <w:lang w:val="en-US" w:eastAsia="zh-CN"/>
        </w:rPr>
        <w:t>一个区域培训和验证方式可行性</w:t>
      </w:r>
      <w:r>
        <w:t>的最小试点模式，按照</w:t>
      </w:r>
      <w:r>
        <w:rPr>
          <w:rFonts w:hint="eastAsia"/>
          <w:lang w:val="en-US" w:eastAsia="zh-CN"/>
        </w:rPr>
        <w:t>农业从业者的需求完整指导相关用法根据反馈不断迭代相应版本，培训AI短视频制作流程，杜绝农民农产品卖不出去、坏在地里的状况</w:t>
      </w:r>
      <w:r>
        <w:t>。</w:t>
      </w:r>
    </w:p>
    <w:p w14:paraId="37937B10">
      <w:pPr>
        <w:pStyle w:val="3"/>
        <w:spacing w:before="165"/>
        <w:rPr>
          <w:rFonts w:hint="eastAsia" w:ascii="楷体" w:hAnsi="楷体" w:eastAsia="楷体" w:cs="楷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" w:name="_Toc12977"/>
      <w:r>
        <w:rPr>
          <w:rFonts w:hint="eastAsia"/>
          <w:color w:val="000000" w:themeColor="text1"/>
          <w:lang w:val="en-US" w:eastAsia="zh-CN"/>
        </w:rPr>
        <w:t>2.4</w:t>
      </w:r>
      <w:r>
        <w:rPr>
          <w:color w:val="000000" w:themeColor="text1"/>
        </w:rPr>
        <w:t xml:space="preserve"> </w:t>
      </w:r>
      <w:r>
        <w:rPr>
          <w:rFonts w:hint="eastAsia" w:ascii="楷体" w:hAnsi="楷体" w:eastAsia="楷体" w:cs="楷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社会价值</w:t>
      </w:r>
      <w:bookmarkEnd w:id="5"/>
    </w:p>
    <w:p w14:paraId="65D370AB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第一，提升农业生产保障能力。项目通过农业知识、天气信息、农场档案和病虫害分析的协同应用，帮助经营主体及时获取生产建议和风险提示，降低因信息不及时、知识获取困难造成的生产风险，为农业稳产保供提供数字化支持。</w:t>
      </w:r>
    </w:p>
    <w:p w14:paraId="47C6DD19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第二，降低农业数字化应用门槛。项目以轻量化软件服务为主要形态，中小农场和合作社无需前期建设大规模传感器及专用设备，即可获得农业知识服务、经营辅助和生成式AI营销能力，有助于缩小不同地区、不同规模经营主体之间的数字化差距。</w:t>
      </w:r>
    </w:p>
    <w:p w14:paraId="11FDA04D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第三，增强农产品市场传播能力。生成式AI和AI短视频广告创作能够帮助农业经营主体将产地优势、种植过程、品质特色和品牌故事转化为适合网络传播的营销内容，改善优质农产品“不会宣传、传播不足、品牌辨识度低”的问题，促进产销衔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让好产品能够走出去走进大众的视野</w:t>
      </w:r>
      <w:r>
        <w:t>。</w:t>
      </w:r>
    </w:p>
    <w:p w14:paraId="2680A3BD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第四，拓展农业经营增收路径。项目通过生产端降低风险、营销端降低内容制作成本、经营端辅助分析价格和供需信息，形成“保产降低损失、促销扩大市场、经营优化增收”的价值链条，帮助中小农业经营主体提升市场适应能力和经营效率。</w:t>
      </w:r>
    </w:p>
    <w:p w14:paraId="1F5654D9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第五，推动基层农技知识沉淀与协作。平台可以将高校科研成果、基层农技经验、地方种植规程和经营主体实践转化为结构化知识资源，促进高校、农技推广机构、合作社与农业企业之间的交流合作，提升基层农技服务的标准化和可复制水平。</w:t>
      </w:r>
    </w:p>
    <w:p w14:paraId="04F09291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第六，拓展青年就业与创新创业空间。项目发展将带动农业知识工程、人工智能应用开发、AI内容创作、客户服务、区域实施和数字营销等岗位需求，为人工智能、农业、传媒和市场营销等专业青年人才参与乡村振兴提供实践平台。</w:t>
      </w:r>
    </w:p>
    <w:p w14:paraId="598916DF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</w:pPr>
      <w:r>
        <w:t>长期来看，耘智惠农将以“种得好、卖得出、赚得到”为主线，把人工智能技术嵌入农业生产和经营全过程，推动农业服务由单一农技指导向“生产保障</w:t>
      </w:r>
      <w:r>
        <w:rPr>
          <w:rFonts w:hint="eastAsia"/>
          <w:lang w:eastAsia="zh-CN"/>
        </w:rPr>
        <w:t>、</w:t>
      </w:r>
      <w:r>
        <w:t>品牌营销</w:t>
      </w:r>
      <w:r>
        <w:rPr>
          <w:rFonts w:hint="eastAsia"/>
          <w:lang w:eastAsia="zh-CN"/>
        </w:rPr>
        <w:t>、</w:t>
      </w:r>
      <w:r>
        <w:t>经营增收”</w:t>
      </w:r>
      <w:r>
        <w:rPr>
          <w:rFonts w:hint="eastAsia"/>
          <w:lang w:val="en-US" w:eastAsia="zh-CN"/>
        </w:rPr>
        <w:t>等</w:t>
      </w:r>
      <w:r>
        <w:t>综合服务转变，为提升基层农业服务效率、促进农民增收和助力地方农业高质量发展提供持续支持。</w:t>
      </w:r>
    </w:p>
    <w:p w14:paraId="09486C29">
      <w:pPr>
        <w:pStyle w:val="2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</w:pPr>
    </w:p>
    <w:p w14:paraId="5258863A">
      <w:pPr>
        <w:pStyle w:val="2"/>
        <w:pageBreakBefore/>
        <w:ind w:firstLine="640"/>
      </w:pPr>
      <w:bookmarkStart w:id="6" w:name="_Toc12508"/>
      <w:r>
        <w:rPr>
          <w:color w:val="000000" w:themeColor="text1"/>
          <w14:textFill>
            <w14:solidFill>
              <w14:schemeClr w14:val="tx1"/>
            </w14:solidFill>
          </w14:textFill>
        </w:rPr>
        <w:t>三、项目优势</w:t>
      </w:r>
      <w:bookmarkEnd w:id="6"/>
    </w:p>
    <w:p w14:paraId="29224918">
      <w:pPr>
        <w:pStyle w:val="3"/>
        <w:spacing w:before="16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14949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 产品与服务体系</w:t>
      </w:r>
      <w:bookmarkEnd w:id="7"/>
      <w:bookmarkStart w:id="58" w:name="_GoBack"/>
      <w:bookmarkEnd w:id="58"/>
    </w:p>
    <w:p w14:paraId="235AF862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表3.1  AgroAgentOS产品能力矩阵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3379"/>
        <w:gridCol w:w="3381"/>
        <w:gridCol w:w="980"/>
      </w:tblGrid>
      <w:tr w14:paraId="14F9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79932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能力层</w:t>
            </w:r>
          </w:p>
        </w:tc>
        <w:tc>
          <w:tcPr>
            <w:tcW w:w="337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D0BF2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核心模块</w:t>
            </w:r>
          </w:p>
        </w:tc>
        <w:tc>
          <w:tcPr>
            <w:tcW w:w="338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03B9F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用户获得的价值</w:t>
            </w:r>
          </w:p>
        </w:tc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C3495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当前状态</w:t>
            </w:r>
          </w:p>
        </w:tc>
      </w:tr>
      <w:tr w14:paraId="4FEC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1F0A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数字底座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AD0E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用户、农场、地块、会话档案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60E4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形成持续可用的农业经营上下文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DEF2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14:paraId="2739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63ED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智能决策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5275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农业问答、种植建议、天气农事、病虫害分析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292F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缩短信息查找时间，获得结构化辅助建议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CD23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14:paraId="0B79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D057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知识服务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83B51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文档上传、混合检索、知识重排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8610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将公共知识与机构自有资料转化为可查询服务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F11C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14:paraId="17FA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17A8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经营服务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5DCD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市场价格、供需、政策、综合分析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EBF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将生产信息与销售判断连接起来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843B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14:paraId="3EE6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5958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内容营销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5CE1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图文、短视频脚本与视频生成任务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F53F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降低农产品内容生产门槛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49DC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14:paraId="29C2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308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平台治理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37F6A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认证、权限、工具白名单、执行状态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BCD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保障不同用户的数据边界与工具使用范围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8A4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14:paraId="60E4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D4F4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迭代方向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6DE10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农事记录、智能预警、效果评估、移动端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1D70B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建立“建议—执行—反馈—沉淀”闭环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3828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规划验证</w:t>
            </w:r>
          </w:p>
        </w:tc>
      </w:tr>
    </w:tbl>
    <w:p w14:paraId="38F51853">
      <w:pPr>
        <w:spacing w:after="40" w:line="160" w:lineRule="exact"/>
      </w:pPr>
    </w:p>
    <w:p w14:paraId="2DB2F016">
      <w:pPr>
        <w:keepNext/>
        <w:spacing w:before="160" w:line="240" w:lineRule="auto"/>
        <w:jc w:val="center"/>
      </w:pPr>
      <w:r>
        <w:drawing>
          <wp:inline distT="0" distB="0" distL="0" distR="0">
            <wp:extent cx="5349240" cy="3268980"/>
            <wp:effectExtent l="0" t="0" r="0" b="0"/>
            <wp:docPr id="1" name="Picture 1" descr="图3.1  AgroAgentOS多智能体智慧农服技术架构" title="图3.1  AgroAgentOS多智能体智慧农服技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3.1  AgroAgentOS多智能体智慧农服技术架构" title="图3.1  AgroAgentOS多智能体智慧农服技术架构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3DDB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图3.1  AgroAgentOS多智能体智慧农服技术架构</w:t>
      </w:r>
    </w:p>
    <w:p w14:paraId="5E9EC76F">
      <w:pPr>
        <w:pStyle w:val="3"/>
        <w:spacing w:before="165"/>
      </w:pPr>
      <w:bookmarkStart w:id="8" w:name="_Toc22754"/>
      <w:r>
        <w:t>2. 技术原理</w:t>
      </w:r>
      <w:bookmarkEnd w:id="8"/>
    </w:p>
    <w:p w14:paraId="0C55D51A">
      <w:pPr>
        <w:pStyle w:val="4"/>
        <w:spacing w:before="165"/>
      </w:pPr>
      <w:bookmarkStart w:id="9" w:name="_Toc13970"/>
      <w:r>
        <w:t>2.1 多智能体任务协同</w:t>
      </w:r>
      <w:bookmarkEnd w:id="9"/>
    </w:p>
    <w:p w14:paraId="53DD0FE0">
      <w:r>
        <w:t>平台采用任务状态图协同机制：技能路由器识别任务，规划器生成步骤，执行器调用白名单工具，复盘节点检查结果并决定补充检索或重新规划。该机制把复杂任务拆为可观察步骤，并限制工具边界。</w:t>
      </w:r>
    </w:p>
    <w:p w14:paraId="62B6DE83">
      <w:pPr>
        <w:pStyle w:val="4"/>
        <w:spacing w:before="165"/>
      </w:pPr>
      <w:bookmarkStart w:id="10" w:name="_Toc29369"/>
      <w:r>
        <w:t>2.2 农业知识增强检索</w:t>
      </w:r>
      <w:bookmarkEnd w:id="10"/>
    </w:p>
    <w:p w14:paraId="1C833523">
      <w:r>
        <w:t>项目采用关键词与向量检索并行召回，经排名融合后进行语义重排序，兼顾明确术语和口语化症状。平台保留文档来源与章节信息，并允许机构上传本地规程形成专属知识空间。</w:t>
      </w:r>
    </w:p>
    <w:p w14:paraId="709A489E">
      <w:pPr>
        <w:pStyle w:val="4"/>
        <w:spacing w:before="165"/>
      </w:pPr>
      <w:bookmarkStart w:id="11" w:name="_Toc31889"/>
      <w:r>
        <w:t>2.3 工具与外部信息连接</w:t>
      </w:r>
      <w:bookmarkEnd w:id="11"/>
    </w:p>
    <w:p w14:paraId="69E0CB7C">
      <w:r>
        <w:t>平台通过标准接口连接天气、市场、知识检索及受限联网搜索。每个农业技能设置工具白名单；外部工具故障时采用超时、降级和用户提示策略。</w:t>
      </w:r>
    </w:p>
    <w:p w14:paraId="6FEB3813">
      <w:pPr>
        <w:pStyle w:val="4"/>
        <w:spacing w:before="165"/>
      </w:pPr>
      <w:bookmarkStart w:id="12" w:name="_Toc10838"/>
      <w:r>
        <w:t>2.4 农场上下文与数据隔离</w:t>
      </w:r>
      <w:bookmarkEnd w:id="12"/>
    </w:p>
    <w:p w14:paraId="2DD31D8D">
      <w:r>
        <w:t>系统把用户授权的农场和地块信息注入任务，使建议能够结合位置、作物和生育阶段。后端通过身份认证、资源归属校验和权限控制隔离用户数据。</w:t>
      </w:r>
    </w:p>
    <w:p w14:paraId="17216C63">
      <w:pPr>
        <w:pStyle w:val="3"/>
        <w:spacing w:before="165"/>
      </w:pPr>
      <w:bookmarkStart w:id="13" w:name="_Toc27792"/>
      <w:r>
        <w:t>3. 核心创新点</w:t>
      </w:r>
      <w:bookmarkEnd w:id="13"/>
    </w:p>
    <w:p w14:paraId="7847D459">
      <w:r>
        <w:t>第一，从“通用聊天”升级为“农业任务协同”。系统不是把所有能力堆进一个提示词，而是将种植、天气、植保、市场和营销等任务模块化，使技能可以独立迭代、测试和授权。</w:t>
      </w:r>
    </w:p>
    <w:p w14:paraId="76AA57FC">
      <w:r>
        <w:t>第二，从“一次回答”升级为“农场上下文服务”。农场、地块、作物和会话记录构成持续上下文，帮助智能体围绕经营主体自身情况组织答案，为未来农事记录和效果反馈奠定数据基础。</w:t>
      </w:r>
    </w:p>
    <w:p w14:paraId="7FFE4FE9">
      <w:r>
        <w:t>第三，从“模型记忆”升级为“知识证据”。混合检索与来源保留机制降低回答完全依赖模型参数的风险，机构还可用自己的标准和规程控制知识口径。</w:t>
      </w:r>
    </w:p>
    <w:p w14:paraId="5A4C971A">
      <w:r>
        <w:t>第四，从“重硬件项目”切入“轻量软件服务”。平台可在不改变既有农机和传感器的前提下先提供知识、决策与经营服务，并通过标准接口逐步连接已有设备，降低中小主体首次采用成本。</w:t>
      </w:r>
    </w:p>
    <w:p w14:paraId="474DAB38">
      <w:r>
        <w:t>第五，将生产服务与经营服务放在同一平台。项目既关注种植与植保，也覆盖行情和内容营销，帮助客户从“把作物种好”延伸到“把产品卖好”，形成更完整的付费价值。</w:t>
      </w:r>
    </w:p>
    <w:p w14:paraId="09AE56F8">
      <w:pPr>
        <w:pStyle w:val="3"/>
        <w:spacing w:before="165"/>
      </w:pPr>
      <w:bookmarkStart w:id="14" w:name="_Toc31474"/>
      <w:r>
        <w:t>4. 技术可行性与成熟度</w:t>
      </w:r>
      <w:bookmarkEnd w:id="14"/>
    </w:p>
    <w:p w14:paraId="004B107C">
      <w:r>
        <w:t>项目已形成基于Python、FastAPI、LangGraph、React和向量数据库的软件架构，前端能够展示智能体执行进度，后端具备统一接口、异常处理和知识库管理能力。模块化Skill支持扩展作物或业务能力，数据库兼容与容器化基础设施有利于迁移到机构部署。</w:t>
      </w:r>
    </w:p>
    <w:p w14:paraId="5AC414DA">
      <w:r>
        <w:t>当前尚未形成大规模真实用户评测数据，图片分析和农业建议仍需场景验证，外部天气、模型和市场数据也存在依赖。下一阶段将重点验证数据闭环与安全规范，不以尚未取得的准确率、专利或收入作为依据。</w:t>
      </w:r>
    </w:p>
    <w:p w14:paraId="2F60C4B1">
      <w:pPr>
        <w:pStyle w:val="3"/>
        <w:spacing w:before="165"/>
      </w:pPr>
      <w:bookmarkStart w:id="15" w:name="_Toc27017"/>
      <w:r>
        <w:t>5. 可持续竞争力</w:t>
      </w:r>
      <w:bookmarkEnd w:id="15"/>
    </w:p>
    <w:p w14:paraId="2E6685D4">
      <w:r>
        <w:t>项目未来壁垒来自经审核的区域作物知识包、问题到反馈的脱敏数据闭环、可复用农业Skill，以及高校、农技人员和服务组织共同参与的交付网络。技术架构可以模仿，但经验证的工作流、知识资产与服务网络需要持续共建。</w:t>
      </w:r>
    </w:p>
    <w:p w14:paraId="2E28F374">
      <w:pPr>
        <w:pStyle w:val="2"/>
        <w:pageBreakBefore/>
        <w:ind w:firstLine="640"/>
      </w:pPr>
      <w:bookmarkStart w:id="16" w:name="_Toc17855"/>
      <w:r>
        <w:t>四、市场分析</w:t>
      </w:r>
      <w:bookmarkEnd w:id="16"/>
    </w:p>
    <w:p w14:paraId="74107005">
      <w:pPr>
        <w:pStyle w:val="3"/>
        <w:spacing w:before="165"/>
      </w:pPr>
      <w:bookmarkStart w:id="17" w:name="_Toc6549"/>
      <w:r>
        <w:t>1. 行业与政策环境</w:t>
      </w:r>
      <w:bookmarkEnd w:id="17"/>
    </w:p>
    <w:p w14:paraId="35A66993">
      <w:r>
        <w:t>我国智慧农业正由单点设备应用向公共数据、智慧农场和全产业链数字化改造推进。《全国智慧农业行动计划（2024—2028年）》明确到2026年底农业生产信息化率达到30%以上；2025年中央一号文件提出拓展人工智能、数据等技术应用场景。农业数字化不仅需要装备，也需要承载知识、决策和服务的软件平台。</w:t>
      </w:r>
    </w:p>
    <w:p w14:paraId="4C2D0CAF">
      <w:r>
        <w:t>基础用户条件正在改善。CNNIC数据显示，截至2024年12月，我国农村网民规模达到3.13亿人，“农事直通”APP服务主体达到106万。移动互联网普及为低门槛数字农服产品提供了触达基础，但农业用户仍需要更直观的交互、更可信的知识来源和更贴近经营场景的服务设计。</w:t>
      </w:r>
    </w:p>
    <w:p w14:paraId="774C7F12">
      <w:pPr>
        <w:pStyle w:val="3"/>
        <w:spacing w:before="165"/>
      </w:pPr>
      <w:bookmarkStart w:id="18" w:name="_Toc860"/>
      <w:r>
        <w:t>2. 市场需求基础</w:t>
      </w:r>
      <w:bookmarkEnd w:id="18"/>
    </w:p>
    <w:p w14:paraId="4CB3CC26">
      <w:r>
        <w:t>截至2024年10月底，全国纳入名录系统的家庭农场近400万个，依法登记的农民合作社214万家、联合社1.5万家；另有109.4万个经营性主体开展农业社会化服务，年服务面积超过21.4亿亩次、服务小农户9400多万户。这些主体既是数字农服的潜在采购方，也是连接大量小农户的服务渠道。</w:t>
      </w:r>
    </w:p>
    <w:p w14:paraId="28ABBC53">
      <w:r>
        <w:t>项目采取由机构向农户辐射的市场路径，不把所有农户都视为直接付费客户。首要客户为具有稳定成员、技术服务职责和数字化预算的合作社、家庭农场、农事服务中心及农业企业；基层农技推广机构和高校实践基地属于示范及共建客户；普通农户主要通过合作组织、公益服务或低价基础版获得能力。</w:t>
      </w:r>
    </w:p>
    <w:p w14:paraId="5F6492EB">
      <w:pPr>
        <w:pStyle w:val="3"/>
        <w:spacing w:before="165"/>
      </w:pPr>
      <w:bookmarkStart w:id="19" w:name="_Toc31263"/>
      <w:r>
        <w:t>3. 目标市场测算</w:t>
      </w:r>
      <w:bookmarkEnd w:id="19"/>
    </w:p>
    <w:p w14:paraId="30652840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表4.1  自下而上的市场容量与三年目标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514"/>
        <w:gridCol w:w="1870"/>
        <w:gridCol w:w="3004"/>
      </w:tblGrid>
      <w:tr w14:paraId="5527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5E1CA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市场层级</w:t>
            </w:r>
          </w:p>
        </w:tc>
        <w:tc>
          <w:tcPr>
            <w:tcW w:w="251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3C13F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测算口径</w:t>
            </w:r>
          </w:p>
        </w:tc>
        <w:tc>
          <w:tcPr>
            <w:tcW w:w="187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976EF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数量或目标</w:t>
            </w:r>
          </w:p>
        </w:tc>
        <w:tc>
          <w:tcPr>
            <w:tcW w:w="300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4A1FD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说明</w:t>
            </w:r>
          </w:p>
        </w:tc>
      </w:tr>
      <w:tr w14:paraId="5E4C7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A0B4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潜在主体市场（TAM）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F055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家庭农场、合作社与联合社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CF26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约615.5万个主体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C8022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仅表示潜在组织基础，不等同于已形成的软件市场收入</w:t>
            </w:r>
          </w:p>
        </w:tc>
      </w:tr>
      <w:tr w14:paraId="230D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2E98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初期可服务市场（SAM）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53BE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选择数字基础较好区域，按潜在主体的1%测算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8DE2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约6.2万个主体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071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属于项目规划假设，需由区域合作渠道逐步验证</w:t>
            </w:r>
          </w:p>
        </w:tc>
      </w:tr>
      <w:tr w14:paraId="38EC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4CAE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三年可获得市场（SOM）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9AD81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付费SaaS客户与私有化部署客户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20BA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200家SaaS客户、15个私有化项目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AF35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对SAM的覆盖比例低于0.4%，按团队交付能力审慎设置</w:t>
            </w:r>
          </w:p>
        </w:tc>
      </w:tr>
      <w:tr w14:paraId="65EA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49CD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三年收入目标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29B3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订阅、部署和知识服务合计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920B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590万元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7D10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属于预测值，不代表已实现收入</w:t>
            </w:r>
          </w:p>
        </w:tc>
      </w:tr>
    </w:tbl>
    <w:p w14:paraId="63110FE9">
      <w:pPr>
        <w:spacing w:after="40" w:line="160" w:lineRule="exact"/>
      </w:pPr>
    </w:p>
    <w:p w14:paraId="209C4CC4">
      <w:r>
        <w:t>这一测算没有直接引用商业研究机构的大口径“智慧农业市场规模”，而是从可识别经营主体数量、项目定价和团队交付能力出发，避免把硬件、农机、遥感和软件等不同市场简单相加。正式试点后将以线索转化率、试用激活率、客单价和续费率更新测算。</w:t>
      </w:r>
    </w:p>
    <w:p w14:paraId="2739BCFE">
      <w:pPr>
        <w:keepNext/>
        <w:spacing w:before="160" w:line="240" w:lineRule="auto"/>
        <w:jc w:val="center"/>
      </w:pPr>
      <w:r>
        <w:drawing>
          <wp:inline distT="0" distB="0" distL="0" distR="0">
            <wp:extent cx="5349240" cy="2971800"/>
            <wp:effectExtent l="0" t="0" r="0" b="0"/>
            <wp:docPr id="2" name="Picture 2" descr="图4.1  AgroAgentOS目标市场分层与三年切入路径" title="图4.1  AgroAgentOS目标市场分层与三年切入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4.1  AgroAgentOS目标市场分层与三年切入路径" title="图4.1  AgroAgentOS目标市场分层与三年切入路径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222E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图4.1  AgroAgentOS目标市场分层与三年切入路径</w:t>
      </w:r>
    </w:p>
    <w:p w14:paraId="38702A9C">
      <w:pPr>
        <w:pStyle w:val="3"/>
        <w:spacing w:before="165"/>
      </w:pPr>
      <w:bookmarkStart w:id="20" w:name="_Toc3519"/>
      <w:r>
        <w:t>4. 客户痛点与采购逻辑</w:t>
      </w:r>
      <w:bookmarkEnd w:id="20"/>
    </w:p>
    <w:p w14:paraId="421F6BBA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表4.2  核心客户需求分析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2944"/>
        <w:gridCol w:w="2523"/>
        <w:gridCol w:w="2272"/>
      </w:tblGrid>
      <w:tr w14:paraId="3E81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9C3B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客户类型</w:t>
            </w:r>
          </w:p>
        </w:tc>
        <w:tc>
          <w:tcPr>
            <w:tcW w:w="294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5F38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主要痛点</w:t>
            </w:r>
          </w:p>
        </w:tc>
        <w:tc>
          <w:tcPr>
            <w:tcW w:w="252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3D4BE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决策关注点</w:t>
            </w:r>
          </w:p>
        </w:tc>
        <w:tc>
          <w:tcPr>
            <w:tcW w:w="227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537FF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项目切入产品</w:t>
            </w:r>
          </w:p>
        </w:tc>
      </w:tr>
      <w:tr w14:paraId="2497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77E71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中小农场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A8261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管理信息分散、缺少及时咨询、软件投入敏感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88818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简单易用、低成本、建议能结合本场情况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9FE2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专业版SaaS、农场档案、天气与问答</w:t>
            </w:r>
          </w:p>
        </w:tc>
      </w:tr>
      <w:tr w14:paraId="2AE2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43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农民合作社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408B4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成员问题重复、服务口径不统一、知识依赖个人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EE2CB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多用户管理、自有知识库、可复制服务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53E5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机构SaaS、知识库、运营看板</w:t>
            </w:r>
          </w:p>
        </w:tc>
      </w:tr>
      <w:tr w14:paraId="701A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9D0DA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农事服务中心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E29A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服务对象多、问题跨度大、需要形成服务记录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04860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交付效率、流程配置、区域适配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575F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私有化部署、Skill定制、培训服务</w:t>
            </w:r>
          </w:p>
        </w:tc>
      </w:tr>
      <w:tr w14:paraId="5982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7DE6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农业企业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C39E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需要生产协同、经销商赋能或客户服务工具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587D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数据安全、系统集成、可维护性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91CC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API、私有部署、专属知识包</w:t>
            </w:r>
          </w:p>
        </w:tc>
      </w:tr>
      <w:tr w14:paraId="65DB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EFCF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农技推广与高校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BA5CF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需要示范、培训和知识传播载体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4EFC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公益性、可解释性、内容审核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0AA8B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联合试点、教学版、专家审核工作流</w:t>
            </w:r>
          </w:p>
        </w:tc>
      </w:tr>
    </w:tbl>
    <w:p w14:paraId="32093B88">
      <w:pPr>
        <w:spacing w:after="40" w:line="160" w:lineRule="exact"/>
      </w:pPr>
    </w:p>
    <w:p w14:paraId="273D9B69">
      <w:pPr>
        <w:pStyle w:val="3"/>
        <w:spacing w:before="165"/>
      </w:pPr>
      <w:bookmarkStart w:id="21" w:name="_Toc28305"/>
      <w:r>
        <w:t>5. 竞争格局</w:t>
      </w:r>
      <w:bookmarkEnd w:id="21"/>
    </w:p>
    <w:p w14:paraId="017FDE2B">
      <w:r>
        <w:t>当前竞争供给可分为四类：以极飞等为代表的智能设备与农场自动化方案，优势是感知和执行闭环；以托普云农等为代表的智慧农业综合解决方案，覆盖智能装备、大数据平台和农业AI，适合政府、科研和产业项目；通用大模型产品使用门槛低、语言能力强，但缺少稳定农场档案和受控农业工作流；传统农技服务专业可信，但服务半径和标准化复制能力有限。</w:t>
      </w:r>
    </w:p>
    <w:p w14:paraId="217AD4FD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表4.3  竞品类型对比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538"/>
        <w:gridCol w:w="1923"/>
        <w:gridCol w:w="1154"/>
        <w:gridCol w:w="1154"/>
        <w:gridCol w:w="2131"/>
      </w:tblGrid>
      <w:tr w14:paraId="21D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BEB0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对比维度</w:t>
            </w:r>
          </w:p>
        </w:tc>
        <w:tc>
          <w:tcPr>
            <w:tcW w:w="1538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1D93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智能装备型方案</w:t>
            </w:r>
          </w:p>
        </w:tc>
        <w:tc>
          <w:tcPr>
            <w:tcW w:w="192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C5201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综合项目型方案</w:t>
            </w:r>
          </w:p>
        </w:tc>
        <w:tc>
          <w:tcPr>
            <w:tcW w:w="115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2C66B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通用大模型</w:t>
            </w:r>
          </w:p>
        </w:tc>
        <w:tc>
          <w:tcPr>
            <w:tcW w:w="115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2D51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传统农技服务</w:t>
            </w:r>
          </w:p>
        </w:tc>
        <w:tc>
          <w:tcPr>
            <w:tcW w:w="213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5D039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AgroAgentOS</w:t>
            </w:r>
          </w:p>
        </w:tc>
      </w:tr>
      <w:tr w14:paraId="3493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022D3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主要价值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4C33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感知、精准作业、设备控制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197D5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政务、科研和产业数字化综合建设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A761B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通用问答与内容生成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1DEB4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现场经验与专业判断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9515F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农场上下文中的知识、决策与经营协同</w:t>
            </w:r>
          </w:p>
        </w:tc>
      </w:tr>
      <w:tr w14:paraId="5481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63D5E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初始投入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D05E2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通常包含硬件投入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77490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定制化程度高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F7A66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低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7CD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按人员与服务计费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D102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软件优先，可由订阅逐步升级</w:t>
            </w:r>
          </w:p>
        </w:tc>
      </w:tr>
      <w:tr w14:paraId="7FF1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E9E2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农业知识依据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5FBC2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依赖产品模块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8272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依赖项目数据与行业平台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2EFBD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不稳定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40711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强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FF61C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混合检索、专属知识库与来源保留</w:t>
            </w:r>
          </w:p>
        </w:tc>
      </w:tr>
      <w:tr w14:paraId="7554D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8DD94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任务流程控制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95E8B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设备流程强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CC400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项目化配置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151C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较弱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E963B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依赖个人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64513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Skill路由、工具白名单与复盘机制</w:t>
            </w:r>
          </w:p>
        </w:tc>
      </w:tr>
      <w:tr w14:paraId="0B1B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076D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中小主体适配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BB6B3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取决于设备预算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CCB64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相对有限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3976A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易用但缺少场景深度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A069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专业但覆盖受限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AD35C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以中小农场和合作社为主要设计对象</w:t>
            </w:r>
          </w:p>
        </w:tc>
      </w:tr>
      <w:tr w14:paraId="3FFF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180BF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差异化关系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4E2E6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可作为未来设备伙伴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15E49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竞争与生态合作并存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ACA00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底层模型或替代工具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40D4F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专家审核与交付伙伴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F691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聚焦轻量农业智能协同层</w:t>
            </w:r>
          </w:p>
        </w:tc>
      </w:tr>
    </w:tbl>
    <w:p w14:paraId="475B492E">
      <w:pPr>
        <w:spacing w:after="40" w:line="160" w:lineRule="exact"/>
      </w:pPr>
    </w:p>
    <w:p w14:paraId="14133684">
      <w:r>
        <w:t>项目不与硬件厂商正面竞争设备市场，而是建设连接现有设备和数据服务的智能协同层，以农业工作流、知识可追溯、农场上下文和低成本交付形成差异化。</w:t>
      </w:r>
    </w:p>
    <w:p w14:paraId="401F2066">
      <w:pPr>
        <w:pStyle w:val="3"/>
        <w:spacing w:before="165"/>
      </w:pPr>
      <w:bookmarkStart w:id="22" w:name="_Toc11959"/>
      <w:r>
        <w:t>6. 主要数据来源</w:t>
      </w:r>
      <w:bookmarkEnd w:id="22"/>
    </w:p>
    <w:p w14:paraId="052AB69C">
      <w:pPr>
        <w:ind w:left="400"/>
      </w:pPr>
      <w:r>
        <w:t>[1] 农业农村部：《全国智慧农业行动计划（2024—2028年）》，农市发〔2024〕4号，2024年10月。</w:t>
      </w:r>
    </w:p>
    <w:p w14:paraId="52AC3212">
      <w:pPr>
        <w:ind w:left="400"/>
      </w:pPr>
      <w:r>
        <w:t>[2] 《中共中央 国务院关于进一步深化农村改革 扎实推进乡村全面振兴的意见》，2025年2月。</w:t>
      </w:r>
    </w:p>
    <w:p w14:paraId="3309CD9B">
      <w:pPr>
        <w:ind w:left="400"/>
      </w:pPr>
      <w:r>
        <w:t>[3] 农业农村主管部门公开数据：截至2024年10月底，家庭农场、农民合作社及农业社会化服务主体相关统计。</w:t>
      </w:r>
    </w:p>
    <w:p w14:paraId="1A2190D2">
      <w:pPr>
        <w:ind w:left="400"/>
      </w:pPr>
      <w:r>
        <w:t>[4] 中国互联网络信息中心：《第55次中国互联网络发展状况统计报告》，2025年1月。</w:t>
      </w:r>
    </w:p>
    <w:p w14:paraId="14BD9624">
      <w:pPr>
        <w:ind w:left="400"/>
      </w:pPr>
      <w:r>
        <w:t>[5] 托普云农官方网站：智慧农业综合解决方案及业务体系介绍。</w:t>
      </w:r>
    </w:p>
    <w:p w14:paraId="4835B25A">
      <w:pPr>
        <w:ind w:left="400"/>
      </w:pPr>
      <w:r>
        <w:t>[6] 极飞科技官方网站：XSAS智慧农业系统及智能农场产品介绍。</w:t>
      </w:r>
    </w:p>
    <w:p w14:paraId="4F080747">
      <w:pPr>
        <w:pStyle w:val="2"/>
        <w:pageBreakBefore/>
        <w:ind w:firstLine="640"/>
      </w:pPr>
      <w:bookmarkStart w:id="23" w:name="_Toc25955"/>
      <w:r>
        <w:t>五、商业模式</w:t>
      </w:r>
      <w:bookmarkEnd w:id="23"/>
    </w:p>
    <w:p w14:paraId="020C0DCE">
      <w:pPr>
        <w:pStyle w:val="3"/>
        <w:spacing w:before="165"/>
      </w:pPr>
      <w:bookmarkStart w:id="24" w:name="_Toc16178"/>
      <w:r>
        <w:t>1. 核心价值主张</w:t>
      </w:r>
      <w:bookmarkEnd w:id="24"/>
    </w:p>
    <w:p w14:paraId="237A579A">
      <w:r>
        <w:t>项目为客户出售的不是一次性“AI回答”，而是持续可用的农业知识与业务协同能力。对农场，价值在于减少信息查找与重复录入；对合作社和服务机构，价值在于提高服务人员人均覆盖数量、统一知识口径并沉淀服务资产；对农业企业，价值在于获得可控、可集成和可维护的专属农业智能入口。</w:t>
      </w:r>
    </w:p>
    <w:p w14:paraId="277F7887">
      <w:pPr>
        <w:keepNext/>
        <w:spacing w:before="160" w:line="240" w:lineRule="auto"/>
        <w:jc w:val="center"/>
      </w:pPr>
      <w:r>
        <w:drawing>
          <wp:inline distT="0" distB="0" distL="0" distR="0">
            <wp:extent cx="5349240" cy="2674620"/>
            <wp:effectExtent l="0" t="0" r="0" b="0"/>
            <wp:docPr id="3" name="Picture 3" descr="图5.1  从农场数据到知识沉淀的业务闭环" title="图5.1  从农场数据到知识沉淀的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5.1  从农场数据到知识沉淀的业务闭环" title="图5.1  从农场数据到知识沉淀的业务闭环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ABC2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图5.1  从农场数据到知识沉淀的业务闭环</w:t>
      </w:r>
    </w:p>
    <w:p w14:paraId="05AD0DB8">
      <w:pPr>
        <w:pStyle w:val="3"/>
        <w:spacing w:before="165"/>
      </w:pPr>
      <w:bookmarkStart w:id="25" w:name="_Toc20159"/>
      <w:r>
        <w:t>2. 盈利模式与定价</w:t>
      </w:r>
      <w:bookmarkEnd w:id="25"/>
    </w:p>
    <w:p w14:paraId="5AF3EFF5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表5.1  规划产品与定价体系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785"/>
        <w:gridCol w:w="1463"/>
        <w:gridCol w:w="4285"/>
      </w:tblGrid>
      <w:tr w14:paraId="2297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8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978F9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产品</w:t>
            </w:r>
          </w:p>
        </w:tc>
        <w:tc>
          <w:tcPr>
            <w:tcW w:w="1785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2C2AC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目标客户</w:t>
            </w:r>
          </w:p>
        </w:tc>
        <w:tc>
          <w:tcPr>
            <w:tcW w:w="146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30EA2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规划价格</w:t>
            </w:r>
          </w:p>
        </w:tc>
        <w:tc>
          <w:tcPr>
            <w:tcW w:w="4285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54801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主要内容</w:t>
            </w:r>
          </w:p>
        </w:tc>
      </w:tr>
      <w:tr w14:paraId="0D27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5B79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基础体验版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10AE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个体用户、试用客户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BFAB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免费或限量使用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EEEB1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基础问答、公开知识、单农场档案</w:t>
            </w:r>
          </w:p>
        </w:tc>
      </w:tr>
      <w:tr w14:paraId="6EB7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5987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专业SaaS版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61951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家庭农场、小型合作社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6125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0.98万元/年起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6C3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多地块、天气与行情、知识库、基础运营服务</w:t>
            </w:r>
          </w:p>
        </w:tc>
      </w:tr>
      <w:tr w14:paraId="40D05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9074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机构SaaS版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92B6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合作社、农服中心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2C48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1.98万元/年起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9DB5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多用户、专属知识、服务记录、权限和培训</w:t>
            </w:r>
          </w:p>
        </w:tc>
      </w:tr>
      <w:tr w14:paraId="7814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3E42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私有化部署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52F9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农业企业、区域机构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EC7B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6万—15万元/项目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14D0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独立部署、模型与数据配置、接口集成；年度维护费另计</w:t>
            </w:r>
          </w:p>
        </w:tc>
      </w:tr>
      <w:tr w14:paraId="4AD2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0585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作物知识包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AEE4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各类机构客户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41BB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1万—5万元/包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3A5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区域作物规程整理、知识切分、专家审核与Skill配置</w:t>
            </w:r>
          </w:p>
        </w:tc>
      </w:tr>
      <w:tr w14:paraId="2D34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2A3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API及实施服务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7A5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平台型客户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14CE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按工作量报价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105B4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系统对接、工具开发、培训和持续技术服务</w:t>
            </w:r>
          </w:p>
        </w:tc>
      </w:tr>
    </w:tbl>
    <w:p w14:paraId="538DEB25">
      <w:pPr>
        <w:spacing w:after="40" w:line="160" w:lineRule="exact"/>
      </w:pPr>
    </w:p>
    <w:p w14:paraId="0682CD20">
      <w:r>
        <w:t>上述价格为竞赛阶段商业测算，不是已签署合同价格。试点阶段将对客户的付费意愿、模型成本、实施工时和售后工作量进行记录，再确定正式套餐边界。</w:t>
      </w:r>
    </w:p>
    <w:p w14:paraId="63040091">
      <w:pPr>
        <w:pStyle w:val="3"/>
        <w:spacing w:before="165"/>
      </w:pPr>
      <w:bookmarkStart w:id="26" w:name="_Toc17889"/>
      <w:r>
        <w:t>3. 运营模式</w:t>
      </w:r>
      <w:bookmarkEnd w:id="26"/>
    </w:p>
    <w:p w14:paraId="2B96A081">
      <w:r>
        <w:t>项目采用“需求诊断—轻量试点—数据评估—付费转化—持续运营”的交付流程。首先选择一个区域、一个主要作物和一类组织客户，梳理高频问题、现有资料和人员分工；其次建立客户农场档案与专属知识库，完成账号、权限和工作流配置；试点期按周记录问题数量、响应时长、建议采纳情况和人工修订内容；达到双方约定的验收标准后转为年度订阅或私有化服务；运营期通过知识更新、使用培训和季度复盘提升续费率。</w:t>
      </w:r>
    </w:p>
    <w:p w14:paraId="4C9848EF">
      <w:r>
        <w:t>平台坚持人机协同：低风险问答由智能体响应，病虫害处置、农药使用和灾害预警等高风险结果提示人工核验；项目团队负责产品与平台，合作伙伴负责农业内容和现场服务。</w:t>
      </w:r>
    </w:p>
    <w:p w14:paraId="0932CB06">
      <w:pPr>
        <w:pStyle w:val="3"/>
        <w:spacing w:before="165"/>
      </w:pPr>
      <w:bookmarkStart w:id="27" w:name="_Toc14604"/>
      <w:r>
        <w:t>4. 营销策略</w:t>
      </w:r>
      <w:bookmarkEnd w:id="27"/>
    </w:p>
    <w:p w14:paraId="7CA3629E">
      <w:r>
        <w:t>项目早期通过高校实践基地、合作社、农事服务中心和农业产业园开展场景化获客，以“一个作物知识包＋一个合作组织＋一个季度试点”形成案例，再通过培训和转介绍复制。</w:t>
      </w:r>
    </w:p>
    <w:p w14:paraId="230B4581">
      <w:r>
        <w:t>内容传播重点展示不涉及隐私的农业知识案例、产品演示、安全指南和可核验试点数据，不以夸张诊断效果吸引用户。</w:t>
      </w:r>
    </w:p>
    <w:p w14:paraId="02763451">
      <w:pPr>
        <w:pStyle w:val="3"/>
        <w:spacing w:before="165"/>
      </w:pPr>
      <w:bookmarkStart w:id="28" w:name="_Toc14339"/>
      <w:r>
        <w:t>5. 合作伙伴体系</w:t>
      </w:r>
      <w:bookmarkEnd w:id="28"/>
    </w:p>
    <w:p w14:paraId="0BC1C1B9">
      <w:r>
        <w:t>农业院校和科研团队提供知识审核与场景研究；农技推广机构和合作社提供真实问题与试点渠道；天气、市场与模型服务商提供标准化数据和算力；农业硬件企业提供传感器和设备接口；渠道伙伴负责区域实施与售后。项目通过标准API和模块化Skill降低合作接入成本，逐步形成“平台能力＋区域服务＋专家知识”的协作网络。</w:t>
      </w:r>
    </w:p>
    <w:p w14:paraId="233195D3">
      <w:pPr>
        <w:pStyle w:val="3"/>
        <w:spacing w:before="165"/>
      </w:pPr>
      <w:bookmarkStart w:id="29" w:name="_Toc19241"/>
      <w:r>
        <w:t>6. 关键经营指标</w:t>
      </w:r>
      <w:bookmarkEnd w:id="29"/>
    </w:p>
    <w:p w14:paraId="404D924A">
      <w:r>
        <w:t>试点与商业化阶段重点跟踪四组指标：产品指标包括月活跃机构数、问题完成率和知识引用覆盖率；客户指标包括试用转付费率、续费率和净推荐值；交付指标包括单客户上线周期、人工审核工时和故障恢复时间；财务指标包括年度合同额、毛利率、获客成本和现金可支撑月数。任何准确率或降本比例只有在形成明确样本、基线和复核记录后才进入正式宣传材料。</w:t>
      </w:r>
    </w:p>
    <w:p w14:paraId="7AF1F8E2">
      <w:pPr>
        <w:pStyle w:val="2"/>
        <w:pageBreakBefore/>
        <w:ind w:firstLine="640"/>
      </w:pPr>
      <w:bookmarkStart w:id="30" w:name="_Toc21834"/>
      <w:r>
        <w:t>六、团队介绍</w:t>
      </w:r>
      <w:bookmarkEnd w:id="30"/>
    </w:p>
    <w:p w14:paraId="2FE5F016">
      <w:pPr>
        <w:pStyle w:val="3"/>
        <w:spacing w:before="165"/>
      </w:pPr>
      <w:bookmarkStart w:id="31" w:name="_Toc20762"/>
      <w:r>
        <w:t>1. 团队组成</w:t>
      </w:r>
      <w:bookmarkEnd w:id="31"/>
    </w:p>
    <w:p w14:paraId="23384ABE">
      <w:r>
        <w:t>项目采用“产品与技术核心团队＋农业知识顾问＋区域试点伙伴”的协作结构。为保护成员个人信息，本计划书按岗位呈现能力与职责，成员姓名、学院、学历和获奖情况以竞赛申报系统及证明材料为准。</w:t>
      </w:r>
    </w:p>
    <w:p w14:paraId="41983131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表6.1  核心岗位与职责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2871"/>
        <w:gridCol w:w="2513"/>
        <w:gridCol w:w="2356"/>
      </w:tblGrid>
      <w:tr w14:paraId="0DBA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3FA4C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岗位</w:t>
            </w:r>
          </w:p>
        </w:tc>
        <w:tc>
          <w:tcPr>
            <w:tcW w:w="287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5F2C0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核心职责</w:t>
            </w:r>
          </w:p>
        </w:tc>
        <w:tc>
          <w:tcPr>
            <w:tcW w:w="251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E91FB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所需能力</w:t>
            </w:r>
          </w:p>
        </w:tc>
        <w:tc>
          <w:tcPr>
            <w:tcW w:w="2356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3290A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当前阶段重点</w:t>
            </w:r>
          </w:p>
        </w:tc>
      </w:tr>
      <w:tr w14:paraId="1BA2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BFA4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项目负责人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C9D4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战略、产品路线、资源协调与竞赛统筹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7F52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产品规划、项目管理、农业需求理解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0394A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确定试点对象与验证指标</w:t>
            </w:r>
          </w:p>
        </w:tc>
      </w:tr>
      <w:tr w14:paraId="6674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A3DB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智能体研发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FA0A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多智能体流程、模型接口、工具运行与评测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2FF75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Python、LLM应用、工作流与安全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F0EB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提升稳定性、可追溯性和成本控制</w:t>
            </w:r>
          </w:p>
        </w:tc>
      </w:tr>
      <w:tr w14:paraId="683B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6B4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平台研发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03FAB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后端接口、数据库、权限、部署与运维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3CA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Web后端、数据库、云部署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F32C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完成机构级权限和部署标准化</w:t>
            </w:r>
          </w:p>
        </w:tc>
      </w:tr>
      <w:tr w14:paraId="1B18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9352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前端与交互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9553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Web工作台、移动适配和用户体验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7DBD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React、可视化、交互设计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1A1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降低农业用户学习成本</w:t>
            </w:r>
          </w:p>
        </w:tc>
      </w:tr>
      <w:tr w14:paraId="25D4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76E1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农业知识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7083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知识库、作物规程、风险边界与内容审核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26DF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农学、植保或农业推广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048C2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建设首批作物知识包与审核机制</w:t>
            </w:r>
          </w:p>
        </w:tc>
      </w:tr>
      <w:tr w14:paraId="160B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4FEA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市场运营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EABB5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客户访谈、试点交付、渠道合作与品牌传播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E2794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农业产业调研、销售与客户成功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1371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形成首批案例和续费流程</w:t>
            </w:r>
          </w:p>
        </w:tc>
      </w:tr>
    </w:tbl>
    <w:p w14:paraId="59278929">
      <w:pPr>
        <w:spacing w:after="40" w:line="160" w:lineRule="exact"/>
      </w:pPr>
    </w:p>
    <w:p w14:paraId="5CC5DC89">
      <w:pPr>
        <w:pStyle w:val="3"/>
        <w:spacing w:before="165"/>
      </w:pPr>
      <w:bookmarkStart w:id="32" w:name="_Toc8259"/>
      <w:r>
        <w:t>2. 能力匹配</w:t>
      </w:r>
      <w:bookmarkEnd w:id="32"/>
    </w:p>
    <w:p w14:paraId="2DAA4A2A">
      <w:r>
        <w:t>现有产品原型证明团队已具备多智能体应用、Web全栈开发、数据库与知识检索等工程能力。下一阶段的主要能力缺口不是继续增加通用功能，而是农业专家审核、真实客户交付、数据合规和商业运营。因此，团队建设将优先补充农业知识负责人和客户成功岗位，并通过顾问与合作单位引入区域农业经验。</w:t>
      </w:r>
    </w:p>
    <w:p w14:paraId="78EBF14A">
      <w:pPr>
        <w:pStyle w:val="3"/>
        <w:spacing w:before="165"/>
      </w:pPr>
      <w:bookmarkStart w:id="33" w:name="_Toc30574"/>
      <w:r>
        <w:t>3. 分工协作机制</w:t>
      </w:r>
      <w:bookmarkEnd w:id="33"/>
    </w:p>
    <w:p w14:paraId="0E94A164">
      <w:r>
        <w:t>团队采用双周迭代和月度复盘。产品需求关联真实用户问题，农业知识变更由负责人审核，高风险功能经过专项检查；每个试点统一记录需求、使用数据和人工修订，使技术、知识与客户反馈保持一致。</w:t>
      </w:r>
    </w:p>
    <w:p w14:paraId="77003664">
      <w:pPr>
        <w:pStyle w:val="3"/>
        <w:spacing w:before="165"/>
      </w:pPr>
      <w:bookmarkStart w:id="34" w:name="_Toc16040"/>
      <w:r>
        <w:t>4. 顾问与人才计划</w:t>
      </w:r>
      <w:bookmarkEnd w:id="34"/>
    </w:p>
    <w:p w14:paraId="5E339BF4">
      <w:r>
        <w:t>项目拟邀请农学、植物保护教师指导知识与安全边界，邀请人工智能教师指导系统评测，并由创业导师指导定价和治理。未确认的顾问和合作关系不作为既有成果。</w:t>
      </w:r>
    </w:p>
    <w:p w14:paraId="7CF2C2C4">
      <w:r>
        <w:t>随着业务增长，团队计划在第一年形成约6人的核心岗位配置，第三年根据客户与交付规模扩展至12—15人。技术岗位保持平台核心能力，区域实施与农业服务更多通过经过培训的伙伴完成，以控制固定成本。</w:t>
      </w:r>
    </w:p>
    <w:p w14:paraId="0826E553">
      <w:pPr>
        <w:pStyle w:val="2"/>
        <w:pageBreakBefore/>
        <w:ind w:firstLine="640"/>
      </w:pPr>
      <w:bookmarkStart w:id="35" w:name="_Toc10620"/>
      <w:r>
        <w:t>七、财务分析</w:t>
      </w:r>
      <w:bookmarkEnd w:id="35"/>
    </w:p>
    <w:p w14:paraId="5738480A">
      <w:pPr>
        <w:pStyle w:val="3"/>
        <w:spacing w:before="165"/>
      </w:pPr>
      <w:bookmarkStart w:id="36" w:name="_Toc31683"/>
      <w:r>
        <w:t>1. 测算原则与关键假设</w:t>
      </w:r>
      <w:bookmarkEnd w:id="36"/>
    </w:p>
    <w:p w14:paraId="25308BE4">
      <w:r>
        <w:t>本财务分析按“项目尚未形成可审计经营收入”的审慎口径编制，所有金额均为未来经营预测，不代表已实现业绩。测算采用机构SaaS、私有化部署和知识/实施服务三类收入；价格参考第五章规划套餐；客户数量受团队交付能力约束；未计入政府补贴、竞赛奖金和不可确认的资本性收入。</w:t>
      </w:r>
    </w:p>
    <w:p w14:paraId="52735EA7">
      <w:r>
        <w:t>核心假设如下：第一年完成20家付费SaaS客户和3个私有化项目；第二年达到80家SaaS客户和8个私有化项目；第三年达到200家SaaS客户和15个私有化项目。SaaS平均客单价随机构客户占比提高，由1.2万元提升至1.8万元。项目执行企业会计准则和税收政策，表中“经营结余”用于观察商业模式，不替代正式审计利润。</w:t>
      </w:r>
    </w:p>
    <w:p w14:paraId="2F0308AE">
      <w:pPr>
        <w:pStyle w:val="3"/>
        <w:spacing w:before="165"/>
      </w:pPr>
      <w:bookmarkStart w:id="37" w:name="_Toc4844"/>
      <w:r>
        <w:t>2. 三年收入预测</w:t>
      </w:r>
      <w:bookmarkEnd w:id="37"/>
    </w:p>
    <w:p w14:paraId="2270D726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表7.1  三年收入预测（单位：万元）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1077"/>
        <w:gridCol w:w="1077"/>
        <w:gridCol w:w="1077"/>
        <w:gridCol w:w="3922"/>
      </w:tblGrid>
      <w:tr w14:paraId="37F8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6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AA1C6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收入项目</w:t>
            </w:r>
          </w:p>
        </w:tc>
        <w:tc>
          <w:tcPr>
            <w:tcW w:w="107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D0204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第一年</w:t>
            </w:r>
          </w:p>
        </w:tc>
        <w:tc>
          <w:tcPr>
            <w:tcW w:w="107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35288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第二年</w:t>
            </w:r>
          </w:p>
        </w:tc>
        <w:tc>
          <w:tcPr>
            <w:tcW w:w="107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207A5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第三年</w:t>
            </w:r>
          </w:p>
        </w:tc>
        <w:tc>
          <w:tcPr>
            <w:tcW w:w="392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C0F6C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测算依据</w:t>
            </w:r>
          </w:p>
        </w:tc>
      </w:tr>
      <w:tr w14:paraId="0D20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79452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SaaS订阅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1DBF1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F7156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120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BC05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360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AA1D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20/80/200家，平均客单价1.2/1.5/1.8万元</w:t>
            </w:r>
          </w:p>
        </w:tc>
      </w:tr>
      <w:tr w14:paraId="2689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6DBA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私有化部署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55EDF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57C9B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64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403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E6C33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3/8/15个项目，平均合同额6/8/10万元</w:t>
            </w:r>
          </w:p>
        </w:tc>
      </w:tr>
      <w:tr w14:paraId="2A94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C0D0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知识包与实施服务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C39DB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45382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36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490F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A65EB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作物知识整理、接口、培训与持续服务</w:t>
            </w:r>
          </w:p>
        </w:tc>
      </w:tr>
      <w:tr w14:paraId="25C8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C2C4A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营业收入合计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C7EE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1E660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220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FE6E2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590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96F8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预测值</w:t>
            </w:r>
          </w:p>
        </w:tc>
      </w:tr>
    </w:tbl>
    <w:p w14:paraId="11FBB529">
      <w:pPr>
        <w:spacing w:after="40" w:line="160" w:lineRule="exact"/>
      </w:pPr>
    </w:p>
    <w:p w14:paraId="006195A1">
      <w:pPr>
        <w:pStyle w:val="3"/>
        <w:spacing w:before="165"/>
      </w:pPr>
      <w:bookmarkStart w:id="38" w:name="_Toc3687"/>
      <w:r>
        <w:t>3. 成本与盈利预测</w:t>
      </w:r>
      <w:bookmarkEnd w:id="38"/>
    </w:p>
    <w:p w14:paraId="3AB5E9A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表7.2  三年成本与经营结余预测（单位：万元）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1"/>
        <w:gridCol w:w="1682"/>
        <w:gridCol w:w="1682"/>
        <w:gridCol w:w="1685"/>
      </w:tblGrid>
      <w:tr w14:paraId="300E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7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16CEE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项目</w:t>
            </w:r>
          </w:p>
        </w:tc>
        <w:tc>
          <w:tcPr>
            <w:tcW w:w="168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D6B4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第一年</w:t>
            </w:r>
          </w:p>
        </w:tc>
        <w:tc>
          <w:tcPr>
            <w:tcW w:w="168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59521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第二年</w:t>
            </w:r>
          </w:p>
        </w:tc>
        <w:tc>
          <w:tcPr>
            <w:tcW w:w="1685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6CF61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第三年</w:t>
            </w:r>
          </w:p>
        </w:tc>
      </w:tr>
      <w:tr w14:paraId="68FB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0744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模型、云资源及第三方数据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A5C0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53C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22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C2F3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55</w:t>
            </w:r>
          </w:p>
        </w:tc>
      </w:tr>
      <w:tr w14:paraId="1CD5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643A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项目实施与交付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ED98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F04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19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1638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45</w:t>
            </w:r>
          </w:p>
        </w:tc>
      </w:tr>
      <w:tr w14:paraId="3170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FC99A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知识维护与客户支持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5DC1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E1E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14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E3CD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38</w:t>
            </w:r>
          </w:p>
        </w:tc>
      </w:tr>
      <w:tr w14:paraId="7EFB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53AB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营业成本小计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F83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20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13F7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D21E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138</w:t>
            </w:r>
          </w:p>
        </w:tc>
      </w:tr>
      <w:tr w14:paraId="57A3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2B51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毛利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9AB5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40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EF1B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165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9DE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452</w:t>
            </w:r>
          </w:p>
        </w:tc>
      </w:tr>
      <w:tr w14:paraId="32C4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D7A9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毛利率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5907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66.7%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4A86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75.0%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D82F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76.6%</w:t>
            </w:r>
          </w:p>
        </w:tc>
      </w:tr>
      <w:tr w14:paraId="293F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710F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研发与核心人员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1F79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30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4D5D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70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B8AF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150</w:t>
            </w:r>
          </w:p>
        </w:tc>
      </w:tr>
      <w:tr w14:paraId="0715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4D96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市场与渠道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9691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12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0E5D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EF0B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80</w:t>
            </w:r>
          </w:p>
        </w:tc>
      </w:tr>
      <w:tr w14:paraId="39AE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AFF5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管理与办公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2208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744F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18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DBB1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35</w:t>
            </w:r>
          </w:p>
        </w:tc>
      </w:tr>
      <w:tr w14:paraId="398E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3C9F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其他运营费用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B3C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F75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12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BBB5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25</w:t>
            </w:r>
          </w:p>
        </w:tc>
      </w:tr>
      <w:tr w14:paraId="2806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563C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期间费用小计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1CD3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B985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135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0332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290</w:t>
            </w:r>
          </w:p>
        </w:tc>
      </w:tr>
      <w:tr w14:paraId="7509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F8D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经营结余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7D4E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-15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F6D5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30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3ABFA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162</w:t>
            </w:r>
          </w:p>
        </w:tc>
      </w:tr>
    </w:tbl>
    <w:p w14:paraId="09940F89">
      <w:pPr>
        <w:spacing w:after="40" w:line="160" w:lineRule="exact"/>
      </w:pPr>
    </w:p>
    <w:p w14:paraId="1024BF2F">
      <w:pPr>
        <w:keepNext/>
        <w:spacing w:before="160" w:line="240" w:lineRule="auto"/>
        <w:jc w:val="center"/>
      </w:pPr>
      <w:r>
        <w:drawing>
          <wp:inline distT="0" distB="0" distL="0" distR="0">
            <wp:extent cx="5349240" cy="3120390"/>
            <wp:effectExtent l="0" t="0" r="0" b="0"/>
            <wp:docPr id="4" name="Picture 4" descr="图7.1  三年营业收入、总成本与经营结余预测" title="图7.1  三年营业收入、总成本与经营结余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7.1  三年营业收入、总成本与经营结余预测" title="图7.1  三年营业收入、总成本与经营结余预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1B54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图7.1  三年营业收入、总成本与经营结余预测</w:t>
      </w:r>
    </w:p>
    <w:p w14:paraId="2D705AA1">
      <w:r>
        <w:t>预测显示，第一年因研发和试点投入亏损约15万元，第二年在客户与交付目标实现时达到年度盈亏平衡，第三年经营结余约162万元；三年累计收入870万元、累计经营结余177万元。若第二年SaaS客户数仅达到计划的60%，盈亏平衡可能推迟至第三年。</w:t>
      </w:r>
    </w:p>
    <w:p w14:paraId="4A51A8BB">
      <w:pPr>
        <w:pStyle w:val="3"/>
        <w:spacing w:before="165"/>
      </w:pPr>
      <w:bookmarkStart w:id="39" w:name="_Toc22594"/>
      <w:r>
        <w:t>4. 成本结构与控制措施</w:t>
      </w:r>
      <w:bookmarkEnd w:id="39"/>
    </w:p>
    <w:p w14:paraId="39C2EA65">
      <w:r>
        <w:t>项目固定成本主要是核心研发、产品和农业知识人员；变动成本包括模型调用、云资源、外部数据、客户实施和渠道佣金。成本控制不以降低答案质量为代价，而是通过模型分级调用、检索结果缓存、标准知识包、自动化部署和渠道伙伴培训减少重复工作。每个私有化项目在签约前核算接口数量、数据清洗量和现场服务天数，避免低价定制侵蚀毛利。</w:t>
      </w:r>
    </w:p>
    <w:p w14:paraId="05A70414">
      <w:pPr>
        <w:pStyle w:val="3"/>
        <w:spacing w:before="165"/>
      </w:pPr>
      <w:bookmarkStart w:id="40" w:name="_Toc2104"/>
      <w:r>
        <w:t>5. 现金流与敏感性</w:t>
      </w:r>
      <w:bookmarkEnd w:id="40"/>
    </w:p>
    <w:p w14:paraId="73542F81">
      <w:r>
        <w:t>项目采用订阅预付和部署项目分阶段收款，并保持不少于六个月固定成本的现金储备，按月跟踪合同额、回款、模型成本和现金可支撑月数。</w:t>
      </w:r>
    </w:p>
    <w:p w14:paraId="7FAF6990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表7.3  关键变量敏感性判断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410"/>
        <w:gridCol w:w="1779"/>
        <w:gridCol w:w="1659"/>
        <w:gridCol w:w="2582"/>
      </w:tblGrid>
      <w:tr w14:paraId="31FD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1A35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变量</w:t>
            </w:r>
          </w:p>
        </w:tc>
        <w:tc>
          <w:tcPr>
            <w:tcW w:w="141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3F4FB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基准假设</w:t>
            </w:r>
          </w:p>
        </w:tc>
        <w:tc>
          <w:tcPr>
            <w:tcW w:w="177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A19C0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不利变化</w:t>
            </w:r>
          </w:p>
        </w:tc>
        <w:tc>
          <w:tcPr>
            <w:tcW w:w="165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AA90E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主要影响</w:t>
            </w:r>
          </w:p>
        </w:tc>
        <w:tc>
          <w:tcPr>
            <w:tcW w:w="258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2A72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应对措施</w:t>
            </w:r>
          </w:p>
        </w:tc>
      </w:tr>
      <w:tr w14:paraId="44E2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57B53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SaaS客户数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8F02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第二年80家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1C93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仅完成48家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0C334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盈亏平衡推迟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D90A3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收缩非核心研发、强化渠道共销</w:t>
            </w:r>
          </w:p>
        </w:tc>
      </w:tr>
      <w:tr w14:paraId="5CE8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BE8EF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平均客单价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3FA9C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第二年1.5万元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1E7B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下降20%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36EC3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毛利与现金流下降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CFE6A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套餐分层、控制免费服务范围</w:t>
            </w:r>
          </w:p>
        </w:tc>
      </w:tr>
      <w:tr w14:paraId="2DF8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C287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模型成本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96B3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占收入约10%以内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3254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单价或调用量上升50%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9D7C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变动成本上升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7D5F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模型路由、缓存、用量配额</w:t>
            </w:r>
          </w:p>
        </w:tc>
      </w:tr>
      <w:tr w14:paraId="4FF6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7E6EC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续费率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2B76A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目标不低于70%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3228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低于50%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006F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获客投入难以回收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B926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客户成功、季度价值复盘</w:t>
            </w:r>
          </w:p>
        </w:tc>
      </w:tr>
      <w:tr w14:paraId="3570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F6CC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私有化交付周期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CE668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1—2个月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01500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超过3个月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26615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人力占用、回款延迟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31F99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标准接口、范围冻结、阶段验收</w:t>
            </w:r>
          </w:p>
        </w:tc>
      </w:tr>
    </w:tbl>
    <w:p w14:paraId="2A93D1A2">
      <w:pPr>
        <w:spacing w:after="40" w:line="160" w:lineRule="exact"/>
      </w:pPr>
    </w:p>
    <w:p w14:paraId="03DE1004">
      <w:pPr>
        <w:pStyle w:val="2"/>
        <w:pageBreakBefore/>
        <w:ind w:firstLine="640"/>
      </w:pPr>
      <w:bookmarkStart w:id="41" w:name="_Toc18548"/>
      <w:r>
        <w:t>八、融资需求</w:t>
      </w:r>
      <w:bookmarkEnd w:id="41"/>
    </w:p>
    <w:p w14:paraId="79192CF6">
      <w:pPr>
        <w:pStyle w:val="3"/>
        <w:spacing w:before="165"/>
      </w:pPr>
      <w:bookmarkStart w:id="42" w:name="_Toc27993"/>
      <w:r>
        <w:t>1. 融资现状与计划</w:t>
      </w:r>
      <w:bookmarkEnd w:id="42"/>
    </w:p>
    <w:p w14:paraId="55DECC75">
      <w:r>
        <w:t>本计划书按项目尚未获得外部股权融资、尚未设立正式运营公司的口径编制。为完成产品工程化、真实场景试点和首轮市场验证，项目拟寻求100万元种子阶段资金，可采用股权融资、创新创业基金或产业合作资金的组合方式。竞赛测算方案为出让不超过10%的股权，对应投前估值约900万元；最终交易条件应在公司设立、团队权属确认和尽职调查后协商，不构成对投资人的收益承诺。</w:t>
      </w:r>
    </w:p>
    <w:p w14:paraId="5F567E57">
      <w:pPr>
        <w:pStyle w:val="3"/>
        <w:spacing w:before="165"/>
      </w:pPr>
      <w:bookmarkStart w:id="43" w:name="_Toc3084"/>
      <w:r>
        <w:t>2. 资金使用计划</w:t>
      </w:r>
      <w:bookmarkEnd w:id="43"/>
    </w:p>
    <w:p w14:paraId="1439C7A5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表8.1  融资资金使用计划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169"/>
        <w:gridCol w:w="1169"/>
        <w:gridCol w:w="4468"/>
      </w:tblGrid>
      <w:tr w14:paraId="05A4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1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B7F9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用途</w:t>
            </w:r>
          </w:p>
        </w:tc>
        <w:tc>
          <w:tcPr>
            <w:tcW w:w="116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A7353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金额</w:t>
            </w:r>
          </w:p>
        </w:tc>
        <w:tc>
          <w:tcPr>
            <w:tcW w:w="116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6DC8A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占比</w:t>
            </w:r>
          </w:p>
        </w:tc>
        <w:tc>
          <w:tcPr>
            <w:tcW w:w="4468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78C79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主要里程碑</w:t>
            </w:r>
          </w:p>
        </w:tc>
      </w:tr>
      <w:tr w14:paraId="4472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B725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产品研发与安全评测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F4D8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40万元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EE60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C53AC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完成机构版、评测体系、移动适配和部署标准化</w:t>
            </w:r>
          </w:p>
        </w:tc>
      </w:tr>
      <w:tr w14:paraId="4E77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5E9F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市场试点与渠道建设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EADC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25万元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CC84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25%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D80E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建设3个典型试点、完成首批付费转化</w:t>
            </w:r>
          </w:p>
        </w:tc>
      </w:tr>
      <w:tr w14:paraId="341F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9A60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农业知识与专家审核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3775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15万元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731A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15%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8D21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建设不少于3个重点作物知识包及审核流程</w:t>
            </w:r>
          </w:p>
        </w:tc>
      </w:tr>
      <w:tr w14:paraId="46B0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59C9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云资源与数据合规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5121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3CFE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B98C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支撑生产环境、备份、安全和第三方数据服务</w:t>
            </w:r>
          </w:p>
        </w:tc>
      </w:tr>
      <w:tr w14:paraId="1ACA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9937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流动资金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9F0B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4DC8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CC910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保持必要运营缓冲，应对回款周期</w:t>
            </w:r>
          </w:p>
        </w:tc>
      </w:tr>
      <w:tr w14:paraId="4816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4EFC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合计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F68F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100万元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A334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F08E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支撑未来12—18个月验证周期</w:t>
            </w:r>
          </w:p>
        </w:tc>
      </w:tr>
    </w:tbl>
    <w:p w14:paraId="23E8C23C">
      <w:pPr>
        <w:spacing w:after="40" w:line="160" w:lineRule="exact"/>
      </w:pPr>
    </w:p>
    <w:p w14:paraId="3370432D">
      <w:pPr>
        <w:pStyle w:val="3"/>
        <w:spacing w:before="165"/>
      </w:pPr>
      <w:bookmarkStart w:id="44" w:name="_Toc3389"/>
      <w:r>
        <w:t>3. 拟设股权与治理结构</w:t>
      </w:r>
      <w:bookmarkEnd w:id="44"/>
    </w:p>
    <w:p w14:paraId="74CDE4D8">
      <w:r>
        <w:t>项目正式设立公司时，拟由核心创始团队持有90%权益，并预留10%员工激励池；如完成本轮10%融资，则按等比例稀释后形成核心团队81%、员工激励池9%、外部投资人10%的结构。核心技术、代码、商标和数据资产应在公司设立后完成权属确认与转移，重大融资、对外担保、知识产权处置和关联交易由股东会或董事会按章程审议。</w:t>
      </w:r>
    </w:p>
    <w:p w14:paraId="19D127F5">
      <w:pPr>
        <w:pStyle w:val="3"/>
        <w:spacing w:before="165"/>
      </w:pPr>
      <w:bookmarkStart w:id="45" w:name="_Toc8578"/>
      <w:r>
        <w:t>4. 融资后目标</w:t>
      </w:r>
      <w:bookmarkEnd w:id="45"/>
    </w:p>
    <w:p w14:paraId="07F6B4A7">
      <w:r>
        <w:t>资金到位后12个月内，项目计划完成机构版产品、至少3个场景试点、20家付费SaaS客户和3个私有化项目，形成不少于3个经过审核的作物知识包，并建立可复核的产品质量与客户价值指标。若关键试点指标未达到预期，项目将优先收缩定制范围、延长验证周期，而不是通过激进扩张消耗现金。</w:t>
      </w:r>
    </w:p>
    <w:p w14:paraId="1E7D2B8F">
      <w:pPr>
        <w:pStyle w:val="3"/>
        <w:spacing w:before="165"/>
      </w:pPr>
      <w:bookmarkStart w:id="46" w:name="_Toc19995"/>
      <w:r>
        <w:t>5. 投资退出机制</w:t>
      </w:r>
      <w:bookmarkEnd w:id="46"/>
    </w:p>
    <w:p w14:paraId="42FCCBF7">
      <w:r>
        <w:t>项目不把短期上市作为主要退出路径，可通过后续融资老股转让、产业并购、依法回购或成熟期利润分配退出，具体安排以法律、协议和实际经营能力为前提。</w:t>
      </w:r>
    </w:p>
    <w:p w14:paraId="7729935A">
      <w:pPr>
        <w:pStyle w:val="2"/>
        <w:pageBreakBefore/>
        <w:ind w:firstLine="640"/>
      </w:pPr>
      <w:bookmarkStart w:id="47" w:name="_Toc14658"/>
      <w:r>
        <w:t>九、风险控制</w:t>
      </w:r>
      <w:bookmarkEnd w:id="47"/>
    </w:p>
    <w:p w14:paraId="1106CE9F">
      <w:pPr>
        <w:pStyle w:val="3"/>
        <w:spacing w:before="165"/>
      </w:pPr>
      <w:bookmarkStart w:id="48" w:name="_Toc23908"/>
      <w:r>
        <w:t>1. 风险矩阵</w:t>
      </w:r>
      <w:bookmarkEnd w:id="48"/>
    </w:p>
    <w:p w14:paraId="4D316508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表9.1  主要风险与控制措施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1020"/>
        <w:gridCol w:w="1020"/>
        <w:gridCol w:w="4454"/>
      </w:tblGrid>
      <w:tr w14:paraId="48D2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6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DB161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风险</w:t>
            </w:r>
          </w:p>
        </w:tc>
        <w:tc>
          <w:tcPr>
            <w:tcW w:w="10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ACF65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可能性</w:t>
            </w:r>
          </w:p>
        </w:tc>
        <w:tc>
          <w:tcPr>
            <w:tcW w:w="10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4AF4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影响</w:t>
            </w:r>
          </w:p>
        </w:tc>
        <w:tc>
          <w:tcPr>
            <w:tcW w:w="445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F56D2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控制措施</w:t>
            </w:r>
          </w:p>
        </w:tc>
      </w:tr>
      <w:tr w14:paraId="54024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B5D3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模型幻觉或建议错误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477E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7A53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FF56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混合知识检索、来源保留、高风险提示、专家抽检和用户反馈闭环</w:t>
            </w:r>
          </w:p>
        </w:tc>
      </w:tr>
      <w:tr w14:paraId="4C1F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3600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农业知识过期或地域不适配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832C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D44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9F16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标注适用区域和时间，建立版本审核与定期更新机制</w:t>
            </w:r>
          </w:p>
        </w:tc>
      </w:tr>
      <w:tr w14:paraId="2DFA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1F3C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病虫害、农药使用责任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32C3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2D4C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997A2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明确辅助定位，不替代现场诊断和标签要求；高风险场景转人工</w:t>
            </w:r>
          </w:p>
        </w:tc>
      </w:tr>
      <w:tr w14:paraId="0639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5AF5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用户数据与隐私泄露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3C9F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低—中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AEC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98612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身份认证、资源归属校验、最小权限、日志审计、备份和脱敏</w:t>
            </w:r>
          </w:p>
        </w:tc>
      </w:tr>
      <w:tr w14:paraId="3442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03C7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外部模型或数据服务中断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D71A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E299A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EBE2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多模型适配、超时降级、缓存与明确不可用提示</w:t>
            </w:r>
          </w:p>
        </w:tc>
      </w:tr>
      <w:tr w14:paraId="4DF9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9B1D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客户付费意愿不足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819A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535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6E5C3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小范围付费试点、量化服务价值、机构带动农户的渠道策略</w:t>
            </w:r>
          </w:p>
        </w:tc>
      </w:tr>
      <w:tr w14:paraId="0784A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1601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定制项目拖累交付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0551B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DC54C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中—高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6E24D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标准产品优先、需求范围冻结、分阶段验收和变更报价</w:t>
            </w:r>
          </w:p>
        </w:tc>
      </w:tr>
      <w:tr w14:paraId="75F5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8294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农业销售周期与现金流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40173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87A4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71BE0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订阅预付、里程碑回款、六个月现金储备和滚动预测</w:t>
            </w:r>
          </w:p>
        </w:tc>
      </w:tr>
      <w:tr w14:paraId="0D622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4DD71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团队农业能力不足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0234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60B80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3E3AC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农业负责人、导师顾问、区域伙伴和高风险内容审核机制</w:t>
            </w:r>
          </w:p>
        </w:tc>
      </w:tr>
    </w:tbl>
    <w:p w14:paraId="0905A73B">
      <w:pPr>
        <w:spacing w:after="40" w:line="160" w:lineRule="exact"/>
      </w:pPr>
    </w:p>
    <w:p w14:paraId="38ED37C9">
      <w:pPr>
        <w:pStyle w:val="3"/>
        <w:spacing w:before="165"/>
      </w:pPr>
      <w:bookmarkStart w:id="49" w:name="_Toc22253"/>
      <w:r>
        <w:t>2. 技术与安全风险</w:t>
      </w:r>
      <w:bookmarkEnd w:id="49"/>
    </w:p>
    <w:p w14:paraId="7F81DA14">
      <w:r>
        <w:t>项目坚持“检索增强不等于事实保证”。回答仍需判断来源是否适用当前地区、作物和时间；系统将评估技能路由、知识检索、任务完成、异常降级和人工答案质量，且不把敏感数据用于未经授权的训练。</w:t>
      </w:r>
    </w:p>
    <w:p w14:paraId="33983D15">
      <w:r>
        <w:t>账号、农场和会话数据按照用户归属隔离，管理员权限与知识库管理权限分离。私有化部署明确客户、项目方和第三方模型服务商之间的数据责任。安全事件建立发现、隔离、通知、修复和复盘流程。</w:t>
      </w:r>
    </w:p>
    <w:p w14:paraId="726C265E">
      <w:pPr>
        <w:pStyle w:val="3"/>
        <w:spacing w:before="165"/>
      </w:pPr>
      <w:bookmarkStart w:id="50" w:name="_Toc13432"/>
      <w:r>
        <w:t>3. 市场与运营风险</w:t>
      </w:r>
      <w:bookmarkEnd w:id="50"/>
    </w:p>
    <w:p w14:paraId="3A08D8E3">
      <w:r>
        <w:t>农业客户需求差异较大，过早追求全作物、全区域覆盖会导致知识与实施成本失控。项目采用“一个区域、一个作物、一个服务组织”的最小试点单元，先验证高频需求和付费价值，再复制到相邻区域。对于客户提出的专属功能，优先判断能否沉淀为通用模块，无法复用的需求按定制项目单独定价。</w:t>
      </w:r>
    </w:p>
    <w:p w14:paraId="0075564F">
      <w:pPr>
        <w:pStyle w:val="3"/>
        <w:spacing w:before="165"/>
      </w:pPr>
      <w:bookmarkStart w:id="51" w:name="_Toc2455"/>
      <w:r>
        <w:t>4. 财务与融资风险</w:t>
      </w:r>
      <w:bookmarkEnd w:id="51"/>
    </w:p>
    <w:p w14:paraId="307CC002">
      <w:r>
        <w:t>项目设置月度现金流预警线：现金可支撑期低于六个月时暂停非核心招聘和长期投入；低于三个月时启动专项回款和成本压缩。融资不及预期时，优先维持核心SaaS与试点客户服务，通过校企合作、产业项目和经营回款延长验证周期，避免依赖单一融资来源。</w:t>
      </w:r>
    </w:p>
    <w:p w14:paraId="3CDEE61E">
      <w:pPr>
        <w:pStyle w:val="3"/>
        <w:spacing w:before="165"/>
      </w:pPr>
      <w:bookmarkStart w:id="52" w:name="_Toc7272"/>
      <w:r>
        <w:t>5. 合规与伦理边界</w:t>
      </w:r>
      <w:bookmarkEnd w:id="52"/>
    </w:p>
    <w:p w14:paraId="4E2EE6A0">
      <w:r>
        <w:t>平台输出属于信息与决策辅助，不替代当地农技人员现场诊断、农药标签、气象灾害预警或行政监管要求。涉及农药名称、剂量和使用方式时优先引用经审核资料，并提醒用户核对作物登记、防治对象、安全间隔期和当地规定。市场和政策信息注明时间与来源，避免将历史政策或价格作为实时承诺。</w:t>
      </w:r>
    </w:p>
    <w:p w14:paraId="7852627C">
      <w:pPr>
        <w:pStyle w:val="2"/>
        <w:pageBreakBefore/>
        <w:ind w:firstLine="640"/>
      </w:pPr>
      <w:bookmarkStart w:id="53" w:name="_Toc23318"/>
      <w:r>
        <w:t>十、未来展望</w:t>
      </w:r>
      <w:bookmarkEnd w:id="53"/>
    </w:p>
    <w:p w14:paraId="0B993180">
      <w:pPr>
        <w:pStyle w:val="3"/>
        <w:spacing w:before="165"/>
      </w:pPr>
      <w:bookmarkStart w:id="54" w:name="_Toc28825"/>
      <w:r>
        <w:t>1. 未来一年规划</w:t>
      </w:r>
      <w:bookmarkEnd w:id="54"/>
    </w:p>
    <w:p w14:paraId="0F0CB81F">
      <w:r>
        <w:t>第一阶段为产品固化期，重点完成机构级权限、农业知识审核、智能体评测、部署脚本和移动端适配，形成可稳定演示和交付的版本。第二阶段为场景试点期，选择典型作物与合作组织，完成需求基线、知识包建设、用户培训和数据采集。第三阶段为付费验证期，根据试点结果调整套餐、价格和服务边界，争取实现20家SaaS客户和3个私有化项目。第四阶段为复盘复制期，形成标准合同、实施清单、培训材料和客户成功机制。</w:t>
      </w:r>
    </w:p>
    <w:p w14:paraId="76002EB6">
      <w:r>
        <w:t>一年内的产品目标不是堆叠更多功能，而是回答三项关键问题：客户是否持续使用，农业知识和安全流程是否可靠，收入能否覆盖交付与模型成本。只有形成可核验数据后，项目才扩大渠道投入。</w:t>
      </w:r>
    </w:p>
    <w:p w14:paraId="000CF7D4">
      <w:pPr>
        <w:pStyle w:val="3"/>
        <w:spacing w:before="165"/>
      </w:pPr>
      <w:bookmarkStart w:id="55" w:name="_Toc22169"/>
      <w:r>
        <w:t>2. 三年发展规划</w:t>
      </w:r>
      <w:bookmarkEnd w:id="55"/>
    </w:p>
    <w:p w14:paraId="0C8C2F4D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表10.1  三年发展路线图</w:t>
      </w:r>
    </w:p>
    <w:tbl>
      <w:tblPr>
        <w:tblStyle w:val="32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2473"/>
        <w:gridCol w:w="2447"/>
        <w:gridCol w:w="2820"/>
      </w:tblGrid>
      <w:tr w14:paraId="524F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F41B0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维度</w:t>
            </w:r>
          </w:p>
        </w:tc>
        <w:tc>
          <w:tcPr>
            <w:tcW w:w="247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7E494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第一年：验证</w:t>
            </w:r>
          </w:p>
        </w:tc>
        <w:tc>
          <w:tcPr>
            <w:tcW w:w="244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90245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第二年：复制</w:t>
            </w:r>
          </w:p>
        </w:tc>
        <w:tc>
          <w:tcPr>
            <w:tcW w:w="28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8D853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第三年：规模化</w:t>
            </w:r>
          </w:p>
        </w:tc>
      </w:tr>
      <w:tr w14:paraId="5F2C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3B025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产品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95FD8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机构版、评测、安全与移动适配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CA9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农事记录、预警和客户运营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EFCF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开放平台、伙伴工具与区域数据协同</w:t>
            </w:r>
          </w:p>
        </w:tc>
      </w:tr>
      <w:tr w14:paraId="37A0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98582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知识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3A27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3个重点作物知识包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CB20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6个作物及区域版本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7A27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形成持续更新的知识伙伴体系</w:t>
            </w:r>
          </w:p>
        </w:tc>
      </w:tr>
      <w:tr w14:paraId="6122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757DE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2A33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3个试点、20家SaaS客户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D087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80家SaaS客户、8个私有化项目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B9F7E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200家SaaS客户、15个私有化项目</w:t>
            </w:r>
          </w:p>
        </w:tc>
      </w:tr>
      <w:tr w14:paraId="24E3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2C2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收入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BDA84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60万元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AC79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220万元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7707F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590万元</w:t>
            </w:r>
          </w:p>
        </w:tc>
      </w:tr>
      <w:tr w14:paraId="0DD7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4E20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团队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FD16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约6个核心岗位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1325D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建立客户成功与渠道支持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5DA60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12—15人核心团队＋区域伙伴</w:t>
            </w:r>
          </w:p>
        </w:tc>
      </w:tr>
      <w:tr w14:paraId="7368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C9059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社会价值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A6966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验证服务流程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A10F8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形成可复制数字农服方案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9ECA9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通过机构客户间接服务更多小农户</w:t>
            </w:r>
          </w:p>
        </w:tc>
      </w:tr>
    </w:tbl>
    <w:p w14:paraId="193BC652">
      <w:pPr>
        <w:spacing w:after="40" w:line="160" w:lineRule="exact"/>
      </w:pPr>
    </w:p>
    <w:p w14:paraId="2533E413">
      <w:pPr>
        <w:keepNext/>
        <w:spacing w:before="160" w:line="240" w:lineRule="auto"/>
        <w:jc w:val="center"/>
      </w:pPr>
      <w:r>
        <w:drawing>
          <wp:inline distT="0" distB="0" distL="0" distR="0">
            <wp:extent cx="5349240" cy="2674620"/>
            <wp:effectExtent l="0" t="0" r="0" b="0"/>
            <wp:docPr id="5" name="Picture 5" descr="图10.1  AgroAgentOS未来三年产品与市场演进路线" title="图10.1  AgroAgentOS未来三年产品与市场演进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10.1  AgroAgentOS未来三年产品与市场演进路线" title="图10.1  AgroAgentOS未来三年产品与市场演进路线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6DCA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图10.1  AgroAgentOS未来三年产品与市场演进路线</w:t>
      </w:r>
    </w:p>
    <w:p w14:paraId="619DC3C2">
      <w:pPr>
        <w:pStyle w:val="3"/>
        <w:spacing w:before="165"/>
      </w:pPr>
      <w:bookmarkStart w:id="56" w:name="_Toc8047"/>
      <w:r>
        <w:t>3. 长期愿景</w:t>
      </w:r>
      <w:bookmarkEnd w:id="56"/>
    </w:p>
    <w:p w14:paraId="7C6BE076">
      <w:r>
        <w:t>项目长期目标是成为农业经营主体可信赖的智能协同入口，连接知识、数据和设备，承载农场管理、农技服务与经营决策，并连接高校、专家和服务机构。平台坚持轻量化、知识可追溯、数据有边界和高风险有人审。</w:t>
      </w:r>
    </w:p>
    <w:p w14:paraId="518EF9CA">
      <w:r>
        <w:t>在商业可持续基础上，项目将探索面向基层农技培训和高校实践教学的公益版本，使经过验证的能力以更低成本触达小农户。</w:t>
      </w:r>
    </w:p>
    <w:p w14:paraId="75119C03">
      <w:pPr>
        <w:pStyle w:val="3"/>
        <w:spacing w:before="165"/>
      </w:pPr>
      <w:bookmarkStart w:id="57" w:name="_Toc18718"/>
      <w:r>
        <w:t>4. 结语</w:t>
      </w:r>
      <w:bookmarkEnd w:id="57"/>
    </w:p>
    <w:p w14:paraId="3F9B12EE">
      <w:r>
        <w:t>AgroAgentOS已经完成从构想到可运行原型的关键一步，下一步竞争力将来自真实场景验证。项目将以中小农业经营主体为中心，以多智能体和农业知识工程为支撑，以机构付费和区域服务为路径，形成可复制的青年科技助农方案。</w:t>
      </w:r>
    </w:p>
    <w:sectPr>
      <w:footerReference r:id="rId12" w:type="default"/>
      <w:pgSz w:w="11906" w:h="16838"/>
      <w:pgMar w:top="1984" w:right="1587" w:bottom="1984" w:left="1587" w:header="850" w:footer="567" w:gutter="0"/>
      <w:pgNumType w:start="1"/>
      <w:cols w:space="720" w:num="1"/>
      <w:docGrid w:type="lines" w:linePitch="33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FAFA8">
    <w:pPr>
      <w:pStyle w:val="20"/>
      <w:ind w:firstLine="360"/>
    </w:pPr>
    <w:r>
      <w:pict>
        <v:shape id="_x0000_s1032" o:spid="_x0000_s1032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710EC5D5">
                <w:pPr>
                  <w:pStyle w:val="20"/>
                  <w:ind w:firstLine="360"/>
                  <w:rPr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EE856">
    <w:pPr>
      <w:pStyle w:val="20"/>
      <w:ind w:firstLine="360"/>
    </w:pPr>
    <w:r>
      <w:pict>
        <v:shape id="文本框 3" o:spid="_x0000_s1030" o:spt="202" type="#_x0000_t202" style="position:absolute;left:0pt;margin-top:0pt;height:40.35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039145E3">
                <w:pPr>
                  <w:pStyle w:val="20"/>
                  <w:ind w:firstLine="360"/>
                  <w:rPr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BA1F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DFB68">
    <w:pPr>
      <w:pStyle w:val="20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6FDFC">
    <w:pPr>
      <w:spacing w:line="240" w:lineRule="auto"/>
      <w:ind w:firstLine="480"/>
      <w:jc w:val="center"/>
    </w:pPr>
    <w:r>
      <w:rPr>
        <w:sz w:val="24"/>
      </w:rPr>
      <w:fldChar w:fldCharType="begin"/>
    </w:r>
    <w:r>
      <w:rPr>
        <w:sz w:val="24"/>
      </w:rPr>
      <w:instrText xml:space="preserve"> PAGE \* MERGEFORMAT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C954F">
    <w:pPr>
      <w:pStyle w:val="21"/>
      <w:ind w:firstLine="420"/>
      <w:rPr>
        <w:rFonts w:hint="eastAsia" w:ascii="方正仿宋_GBK" w:hAnsi="方正仿宋_GBK" w:cs="方正仿宋_GBK"/>
        <w:sz w:val="22"/>
        <w:szCs w:val="22"/>
      </w:rPr>
    </w:pPr>
    <w:r>
      <w:rPr>
        <w:rFonts w:hint="eastAsia" w:ascii="方正仿宋_GBK" w:hAnsi="方正仿宋_GBK" w:cs="方正仿宋_GBK"/>
        <w:sz w:val="22"/>
        <w:szCs w:val="22"/>
      </w:rPr>
      <w:t>第十五届“挑战杯”中国大学生创业计划竞赛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9D5D6">
    <w:pPr>
      <w:pStyle w:val="21"/>
      <w:ind w:firstLine="400"/>
    </w:pPr>
    <w:r>
      <w:rPr>
        <w:rFonts w:hint="eastAsia"/>
      </w:rPr>
      <w:t>大连理工大学硕士学位论文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9EE2">
    <w:pPr>
      <w:pStyle w:val="21"/>
      <w:ind w:firstLine="4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NotTrackMoves/>
  <w:documentProtection w:enforcement="0"/>
  <w:defaultTabStop w:val="420"/>
  <w:drawingGridHorizontalSpacing w:val="2"/>
  <w:drawingGridVerticalSpacing w:val="165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1145"/>
    <w:rsid w:val="00001C69"/>
    <w:rsid w:val="00006AE6"/>
    <w:rsid w:val="00012FA5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4186"/>
    <w:rsid w:val="00034AA3"/>
    <w:rsid w:val="00040601"/>
    <w:rsid w:val="00055DB6"/>
    <w:rsid w:val="000563AE"/>
    <w:rsid w:val="00056E90"/>
    <w:rsid w:val="00060209"/>
    <w:rsid w:val="00060A7A"/>
    <w:rsid w:val="00063590"/>
    <w:rsid w:val="000638A2"/>
    <w:rsid w:val="00063AE5"/>
    <w:rsid w:val="00071380"/>
    <w:rsid w:val="00071DBD"/>
    <w:rsid w:val="0007610D"/>
    <w:rsid w:val="00076F5C"/>
    <w:rsid w:val="000775B6"/>
    <w:rsid w:val="00081C74"/>
    <w:rsid w:val="00081DAC"/>
    <w:rsid w:val="00092653"/>
    <w:rsid w:val="000958C7"/>
    <w:rsid w:val="000960C4"/>
    <w:rsid w:val="00097805"/>
    <w:rsid w:val="000A0A72"/>
    <w:rsid w:val="000A16F4"/>
    <w:rsid w:val="000A259E"/>
    <w:rsid w:val="000A4FB5"/>
    <w:rsid w:val="000A5922"/>
    <w:rsid w:val="000A6A89"/>
    <w:rsid w:val="000B1145"/>
    <w:rsid w:val="000B213E"/>
    <w:rsid w:val="000B2EB2"/>
    <w:rsid w:val="000B53C3"/>
    <w:rsid w:val="000B6665"/>
    <w:rsid w:val="000B6CA0"/>
    <w:rsid w:val="000C413B"/>
    <w:rsid w:val="000C4586"/>
    <w:rsid w:val="000C553E"/>
    <w:rsid w:val="000C61BD"/>
    <w:rsid w:val="000C62AD"/>
    <w:rsid w:val="000C6515"/>
    <w:rsid w:val="000C762D"/>
    <w:rsid w:val="000D1486"/>
    <w:rsid w:val="000D3281"/>
    <w:rsid w:val="000D4D2A"/>
    <w:rsid w:val="000D4D73"/>
    <w:rsid w:val="000D781B"/>
    <w:rsid w:val="000D787E"/>
    <w:rsid w:val="000E126F"/>
    <w:rsid w:val="000E335A"/>
    <w:rsid w:val="000E3571"/>
    <w:rsid w:val="000E35CE"/>
    <w:rsid w:val="000F2952"/>
    <w:rsid w:val="000F2FFF"/>
    <w:rsid w:val="000F41DF"/>
    <w:rsid w:val="000F64CC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231B6"/>
    <w:rsid w:val="0013078D"/>
    <w:rsid w:val="00133F46"/>
    <w:rsid w:val="00134E0D"/>
    <w:rsid w:val="00140447"/>
    <w:rsid w:val="00140993"/>
    <w:rsid w:val="00146E61"/>
    <w:rsid w:val="00147F7F"/>
    <w:rsid w:val="00150102"/>
    <w:rsid w:val="00150647"/>
    <w:rsid w:val="0015263A"/>
    <w:rsid w:val="00153FAA"/>
    <w:rsid w:val="001613C9"/>
    <w:rsid w:val="00162E6D"/>
    <w:rsid w:val="00164FFE"/>
    <w:rsid w:val="001705A0"/>
    <w:rsid w:val="00170FA5"/>
    <w:rsid w:val="00172A27"/>
    <w:rsid w:val="00173763"/>
    <w:rsid w:val="00173CB1"/>
    <w:rsid w:val="00175062"/>
    <w:rsid w:val="0017602A"/>
    <w:rsid w:val="001832BA"/>
    <w:rsid w:val="00190A3F"/>
    <w:rsid w:val="00190E3D"/>
    <w:rsid w:val="00191899"/>
    <w:rsid w:val="00192012"/>
    <w:rsid w:val="001922B9"/>
    <w:rsid w:val="00192A27"/>
    <w:rsid w:val="00193740"/>
    <w:rsid w:val="00193A76"/>
    <w:rsid w:val="0019479F"/>
    <w:rsid w:val="0019643C"/>
    <w:rsid w:val="001A1440"/>
    <w:rsid w:val="001A1D7D"/>
    <w:rsid w:val="001A23B9"/>
    <w:rsid w:val="001A363F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1BED"/>
    <w:rsid w:val="001E2EC9"/>
    <w:rsid w:val="001E4DF9"/>
    <w:rsid w:val="001F23DB"/>
    <w:rsid w:val="001F3359"/>
    <w:rsid w:val="001F4E05"/>
    <w:rsid w:val="001F54C0"/>
    <w:rsid w:val="001F5699"/>
    <w:rsid w:val="001F6FC8"/>
    <w:rsid w:val="00201F24"/>
    <w:rsid w:val="00202CA4"/>
    <w:rsid w:val="002162CA"/>
    <w:rsid w:val="00216B75"/>
    <w:rsid w:val="00222124"/>
    <w:rsid w:val="0022214F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543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72256"/>
    <w:rsid w:val="00274850"/>
    <w:rsid w:val="00275CD0"/>
    <w:rsid w:val="002853EA"/>
    <w:rsid w:val="0029252D"/>
    <w:rsid w:val="0029325B"/>
    <w:rsid w:val="0029346F"/>
    <w:rsid w:val="00297F37"/>
    <w:rsid w:val="002A0799"/>
    <w:rsid w:val="002A0AB3"/>
    <w:rsid w:val="002A1833"/>
    <w:rsid w:val="002A20B5"/>
    <w:rsid w:val="002B3460"/>
    <w:rsid w:val="002B6262"/>
    <w:rsid w:val="002C1E9C"/>
    <w:rsid w:val="002C2E93"/>
    <w:rsid w:val="002C49DC"/>
    <w:rsid w:val="002C6146"/>
    <w:rsid w:val="002D49BC"/>
    <w:rsid w:val="002D5D08"/>
    <w:rsid w:val="002D5EB4"/>
    <w:rsid w:val="002E197C"/>
    <w:rsid w:val="002E1A99"/>
    <w:rsid w:val="002E2B5C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0621D"/>
    <w:rsid w:val="00313481"/>
    <w:rsid w:val="0031637C"/>
    <w:rsid w:val="00323850"/>
    <w:rsid w:val="0032695B"/>
    <w:rsid w:val="003278EB"/>
    <w:rsid w:val="00330450"/>
    <w:rsid w:val="0033204B"/>
    <w:rsid w:val="003404F2"/>
    <w:rsid w:val="00340EB1"/>
    <w:rsid w:val="00341D67"/>
    <w:rsid w:val="00345D45"/>
    <w:rsid w:val="00351298"/>
    <w:rsid w:val="00353391"/>
    <w:rsid w:val="00355BDD"/>
    <w:rsid w:val="003566F7"/>
    <w:rsid w:val="00361256"/>
    <w:rsid w:val="003623E0"/>
    <w:rsid w:val="003625DD"/>
    <w:rsid w:val="0036347D"/>
    <w:rsid w:val="0036496F"/>
    <w:rsid w:val="003659AE"/>
    <w:rsid w:val="00370E52"/>
    <w:rsid w:val="0037390F"/>
    <w:rsid w:val="00373E12"/>
    <w:rsid w:val="00375271"/>
    <w:rsid w:val="003800FF"/>
    <w:rsid w:val="00380398"/>
    <w:rsid w:val="003806AD"/>
    <w:rsid w:val="00380F3F"/>
    <w:rsid w:val="00381CFF"/>
    <w:rsid w:val="00382E58"/>
    <w:rsid w:val="0038385F"/>
    <w:rsid w:val="003839C6"/>
    <w:rsid w:val="003855C6"/>
    <w:rsid w:val="00387FD9"/>
    <w:rsid w:val="00391E83"/>
    <w:rsid w:val="00396CC0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16"/>
    <w:rsid w:val="003B33CF"/>
    <w:rsid w:val="003B4AB0"/>
    <w:rsid w:val="003B7B0F"/>
    <w:rsid w:val="003C1531"/>
    <w:rsid w:val="003C1779"/>
    <w:rsid w:val="003C1B77"/>
    <w:rsid w:val="003C3F8B"/>
    <w:rsid w:val="003C4923"/>
    <w:rsid w:val="003C73C6"/>
    <w:rsid w:val="003D19E0"/>
    <w:rsid w:val="003D1B6E"/>
    <w:rsid w:val="003D2BD5"/>
    <w:rsid w:val="003E05A6"/>
    <w:rsid w:val="003E5DC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41C5"/>
    <w:rsid w:val="004147ED"/>
    <w:rsid w:val="00414DAB"/>
    <w:rsid w:val="0041764D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4A63"/>
    <w:rsid w:val="0044509D"/>
    <w:rsid w:val="00446E22"/>
    <w:rsid w:val="00451E9A"/>
    <w:rsid w:val="0045255C"/>
    <w:rsid w:val="004528DF"/>
    <w:rsid w:val="004550B1"/>
    <w:rsid w:val="00455788"/>
    <w:rsid w:val="004605DC"/>
    <w:rsid w:val="00460AB7"/>
    <w:rsid w:val="00462BA5"/>
    <w:rsid w:val="00463B9C"/>
    <w:rsid w:val="004641C0"/>
    <w:rsid w:val="00467DD0"/>
    <w:rsid w:val="004713FC"/>
    <w:rsid w:val="00471E6F"/>
    <w:rsid w:val="0047254E"/>
    <w:rsid w:val="00472D62"/>
    <w:rsid w:val="004734FA"/>
    <w:rsid w:val="004812E3"/>
    <w:rsid w:val="00481A98"/>
    <w:rsid w:val="00484F93"/>
    <w:rsid w:val="00485E84"/>
    <w:rsid w:val="004878BC"/>
    <w:rsid w:val="00492672"/>
    <w:rsid w:val="00493594"/>
    <w:rsid w:val="00496D22"/>
    <w:rsid w:val="004A39AE"/>
    <w:rsid w:val="004A416C"/>
    <w:rsid w:val="004A68EA"/>
    <w:rsid w:val="004B1D99"/>
    <w:rsid w:val="004B42D4"/>
    <w:rsid w:val="004B5E8C"/>
    <w:rsid w:val="004B6144"/>
    <w:rsid w:val="004C163A"/>
    <w:rsid w:val="004C1E81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30AB"/>
    <w:rsid w:val="004F5047"/>
    <w:rsid w:val="004F55DA"/>
    <w:rsid w:val="004F6B2D"/>
    <w:rsid w:val="004F7D5E"/>
    <w:rsid w:val="00512D4A"/>
    <w:rsid w:val="00512EA4"/>
    <w:rsid w:val="00515A43"/>
    <w:rsid w:val="005214DA"/>
    <w:rsid w:val="005251A7"/>
    <w:rsid w:val="0052607A"/>
    <w:rsid w:val="00531193"/>
    <w:rsid w:val="00541D97"/>
    <w:rsid w:val="00542E7C"/>
    <w:rsid w:val="00543BA5"/>
    <w:rsid w:val="005507CE"/>
    <w:rsid w:val="00550B67"/>
    <w:rsid w:val="00550DDE"/>
    <w:rsid w:val="00555E04"/>
    <w:rsid w:val="00560BD4"/>
    <w:rsid w:val="005620BF"/>
    <w:rsid w:val="0056263D"/>
    <w:rsid w:val="00565E5C"/>
    <w:rsid w:val="0056732F"/>
    <w:rsid w:val="00570042"/>
    <w:rsid w:val="0057290F"/>
    <w:rsid w:val="00572DFA"/>
    <w:rsid w:val="00574D07"/>
    <w:rsid w:val="00575676"/>
    <w:rsid w:val="00575D68"/>
    <w:rsid w:val="00575DE0"/>
    <w:rsid w:val="0057618C"/>
    <w:rsid w:val="005820DA"/>
    <w:rsid w:val="005846F3"/>
    <w:rsid w:val="005847C8"/>
    <w:rsid w:val="00587E54"/>
    <w:rsid w:val="00590D00"/>
    <w:rsid w:val="005918BF"/>
    <w:rsid w:val="005938CE"/>
    <w:rsid w:val="0059397C"/>
    <w:rsid w:val="0059635E"/>
    <w:rsid w:val="00596CA8"/>
    <w:rsid w:val="005974E0"/>
    <w:rsid w:val="005A223D"/>
    <w:rsid w:val="005A3BA9"/>
    <w:rsid w:val="005A52A1"/>
    <w:rsid w:val="005A5CC9"/>
    <w:rsid w:val="005A6DF4"/>
    <w:rsid w:val="005B4E87"/>
    <w:rsid w:val="005B5A96"/>
    <w:rsid w:val="005B6822"/>
    <w:rsid w:val="005C028F"/>
    <w:rsid w:val="005C14B8"/>
    <w:rsid w:val="005C28F5"/>
    <w:rsid w:val="005C2DA5"/>
    <w:rsid w:val="005C3181"/>
    <w:rsid w:val="005C57F8"/>
    <w:rsid w:val="005C6A16"/>
    <w:rsid w:val="005D1221"/>
    <w:rsid w:val="005D2A7E"/>
    <w:rsid w:val="005D2CEC"/>
    <w:rsid w:val="005D5001"/>
    <w:rsid w:val="005D749A"/>
    <w:rsid w:val="005E1248"/>
    <w:rsid w:val="005E2BEB"/>
    <w:rsid w:val="005E34E7"/>
    <w:rsid w:val="005E4237"/>
    <w:rsid w:val="005E6536"/>
    <w:rsid w:val="005E73EB"/>
    <w:rsid w:val="005E77BC"/>
    <w:rsid w:val="005F0F1B"/>
    <w:rsid w:val="005F3FA5"/>
    <w:rsid w:val="005F783E"/>
    <w:rsid w:val="006049B3"/>
    <w:rsid w:val="0060539B"/>
    <w:rsid w:val="00607A55"/>
    <w:rsid w:val="006133BF"/>
    <w:rsid w:val="0061418D"/>
    <w:rsid w:val="0061671F"/>
    <w:rsid w:val="00623F21"/>
    <w:rsid w:val="00624803"/>
    <w:rsid w:val="00625627"/>
    <w:rsid w:val="0062767A"/>
    <w:rsid w:val="0063121F"/>
    <w:rsid w:val="00632340"/>
    <w:rsid w:val="00635983"/>
    <w:rsid w:val="00636BB3"/>
    <w:rsid w:val="00642D68"/>
    <w:rsid w:val="00646616"/>
    <w:rsid w:val="00653B54"/>
    <w:rsid w:val="00654BE3"/>
    <w:rsid w:val="006574DB"/>
    <w:rsid w:val="00663048"/>
    <w:rsid w:val="006633A0"/>
    <w:rsid w:val="006641A9"/>
    <w:rsid w:val="006725FB"/>
    <w:rsid w:val="00674E33"/>
    <w:rsid w:val="00677514"/>
    <w:rsid w:val="00677673"/>
    <w:rsid w:val="006816E9"/>
    <w:rsid w:val="00684C2E"/>
    <w:rsid w:val="00685357"/>
    <w:rsid w:val="00685CA4"/>
    <w:rsid w:val="0068623A"/>
    <w:rsid w:val="006939F0"/>
    <w:rsid w:val="00695F61"/>
    <w:rsid w:val="006975E1"/>
    <w:rsid w:val="006A0543"/>
    <w:rsid w:val="006A0C25"/>
    <w:rsid w:val="006A17FD"/>
    <w:rsid w:val="006A4162"/>
    <w:rsid w:val="006A4D23"/>
    <w:rsid w:val="006B2C09"/>
    <w:rsid w:val="006B355F"/>
    <w:rsid w:val="006B633B"/>
    <w:rsid w:val="006B7073"/>
    <w:rsid w:val="006B7486"/>
    <w:rsid w:val="006C1124"/>
    <w:rsid w:val="006C1CF5"/>
    <w:rsid w:val="006C246D"/>
    <w:rsid w:val="006C4C3A"/>
    <w:rsid w:val="006C5DE3"/>
    <w:rsid w:val="006C6BE7"/>
    <w:rsid w:val="006C766E"/>
    <w:rsid w:val="006C7752"/>
    <w:rsid w:val="006D025E"/>
    <w:rsid w:val="006D7B87"/>
    <w:rsid w:val="006D7CDC"/>
    <w:rsid w:val="006E4624"/>
    <w:rsid w:val="006E7DB9"/>
    <w:rsid w:val="006F0B14"/>
    <w:rsid w:val="006F1CF2"/>
    <w:rsid w:val="006F36EE"/>
    <w:rsid w:val="006F3AAD"/>
    <w:rsid w:val="007022B8"/>
    <w:rsid w:val="00702635"/>
    <w:rsid w:val="00702CA4"/>
    <w:rsid w:val="007032A8"/>
    <w:rsid w:val="00706145"/>
    <w:rsid w:val="00706848"/>
    <w:rsid w:val="00707F5B"/>
    <w:rsid w:val="007101B7"/>
    <w:rsid w:val="007113D0"/>
    <w:rsid w:val="00712B98"/>
    <w:rsid w:val="00715764"/>
    <w:rsid w:val="00717549"/>
    <w:rsid w:val="00721C99"/>
    <w:rsid w:val="0072210D"/>
    <w:rsid w:val="007223F1"/>
    <w:rsid w:val="007241A7"/>
    <w:rsid w:val="00727B2C"/>
    <w:rsid w:val="00730E5B"/>
    <w:rsid w:val="00731389"/>
    <w:rsid w:val="00737B77"/>
    <w:rsid w:val="00742D7C"/>
    <w:rsid w:val="0074391A"/>
    <w:rsid w:val="00750C28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97393"/>
    <w:rsid w:val="007A2D70"/>
    <w:rsid w:val="007A39D6"/>
    <w:rsid w:val="007A4712"/>
    <w:rsid w:val="007A7179"/>
    <w:rsid w:val="007B046C"/>
    <w:rsid w:val="007B0F93"/>
    <w:rsid w:val="007B493E"/>
    <w:rsid w:val="007B769C"/>
    <w:rsid w:val="007B7F0C"/>
    <w:rsid w:val="007C5B6A"/>
    <w:rsid w:val="007D1909"/>
    <w:rsid w:val="007D7AC1"/>
    <w:rsid w:val="007E0ACC"/>
    <w:rsid w:val="007E2580"/>
    <w:rsid w:val="007E3FC4"/>
    <w:rsid w:val="007E78B2"/>
    <w:rsid w:val="007E7C8B"/>
    <w:rsid w:val="007F05CC"/>
    <w:rsid w:val="007F22F8"/>
    <w:rsid w:val="007F3FD2"/>
    <w:rsid w:val="007F4988"/>
    <w:rsid w:val="007F76FE"/>
    <w:rsid w:val="00800E3B"/>
    <w:rsid w:val="008013B9"/>
    <w:rsid w:val="00804E96"/>
    <w:rsid w:val="00807108"/>
    <w:rsid w:val="00813E5E"/>
    <w:rsid w:val="00814BE9"/>
    <w:rsid w:val="0081601C"/>
    <w:rsid w:val="00823877"/>
    <w:rsid w:val="00823D32"/>
    <w:rsid w:val="0082472F"/>
    <w:rsid w:val="00827EA9"/>
    <w:rsid w:val="008301B3"/>
    <w:rsid w:val="00830853"/>
    <w:rsid w:val="00830E1F"/>
    <w:rsid w:val="008330E2"/>
    <w:rsid w:val="00834E84"/>
    <w:rsid w:val="0084012F"/>
    <w:rsid w:val="00841041"/>
    <w:rsid w:val="00841739"/>
    <w:rsid w:val="008442B7"/>
    <w:rsid w:val="00846038"/>
    <w:rsid w:val="00846CBA"/>
    <w:rsid w:val="00850023"/>
    <w:rsid w:val="008503FC"/>
    <w:rsid w:val="0085139C"/>
    <w:rsid w:val="00853546"/>
    <w:rsid w:val="00853651"/>
    <w:rsid w:val="00853679"/>
    <w:rsid w:val="00862417"/>
    <w:rsid w:val="00866888"/>
    <w:rsid w:val="00871068"/>
    <w:rsid w:val="00873354"/>
    <w:rsid w:val="00873C56"/>
    <w:rsid w:val="00873D49"/>
    <w:rsid w:val="00876A9A"/>
    <w:rsid w:val="0087709E"/>
    <w:rsid w:val="008806FF"/>
    <w:rsid w:val="00881E5A"/>
    <w:rsid w:val="00884C9B"/>
    <w:rsid w:val="00885818"/>
    <w:rsid w:val="0088662E"/>
    <w:rsid w:val="008867D0"/>
    <w:rsid w:val="0089097A"/>
    <w:rsid w:val="00893DFD"/>
    <w:rsid w:val="0089489E"/>
    <w:rsid w:val="008A2AB2"/>
    <w:rsid w:val="008A4DBF"/>
    <w:rsid w:val="008B186C"/>
    <w:rsid w:val="008B1920"/>
    <w:rsid w:val="008B1939"/>
    <w:rsid w:val="008B4539"/>
    <w:rsid w:val="008B57D8"/>
    <w:rsid w:val="008C028A"/>
    <w:rsid w:val="008C0653"/>
    <w:rsid w:val="008C2729"/>
    <w:rsid w:val="008C30BB"/>
    <w:rsid w:val="008C36A2"/>
    <w:rsid w:val="008C3EF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411E"/>
    <w:rsid w:val="008F5858"/>
    <w:rsid w:val="0090175C"/>
    <w:rsid w:val="009030C8"/>
    <w:rsid w:val="009035B8"/>
    <w:rsid w:val="009061AF"/>
    <w:rsid w:val="009072EE"/>
    <w:rsid w:val="009108F2"/>
    <w:rsid w:val="0091444C"/>
    <w:rsid w:val="009155F3"/>
    <w:rsid w:val="00916481"/>
    <w:rsid w:val="00916C41"/>
    <w:rsid w:val="0092108B"/>
    <w:rsid w:val="009219BC"/>
    <w:rsid w:val="00921F33"/>
    <w:rsid w:val="009253A3"/>
    <w:rsid w:val="009260DB"/>
    <w:rsid w:val="00934A7E"/>
    <w:rsid w:val="00943339"/>
    <w:rsid w:val="00946D5B"/>
    <w:rsid w:val="009504BF"/>
    <w:rsid w:val="009517B7"/>
    <w:rsid w:val="009543C4"/>
    <w:rsid w:val="00955C8B"/>
    <w:rsid w:val="009577D3"/>
    <w:rsid w:val="00957897"/>
    <w:rsid w:val="0096081C"/>
    <w:rsid w:val="00960961"/>
    <w:rsid w:val="00960D11"/>
    <w:rsid w:val="009633AF"/>
    <w:rsid w:val="00965E8A"/>
    <w:rsid w:val="00967C27"/>
    <w:rsid w:val="00973115"/>
    <w:rsid w:val="00986377"/>
    <w:rsid w:val="00994055"/>
    <w:rsid w:val="009960ED"/>
    <w:rsid w:val="00997FEE"/>
    <w:rsid w:val="009A100A"/>
    <w:rsid w:val="009A1982"/>
    <w:rsid w:val="009A57A4"/>
    <w:rsid w:val="009A5981"/>
    <w:rsid w:val="009A68DD"/>
    <w:rsid w:val="009A69AD"/>
    <w:rsid w:val="009B018E"/>
    <w:rsid w:val="009B1D91"/>
    <w:rsid w:val="009B3BBD"/>
    <w:rsid w:val="009B3EC3"/>
    <w:rsid w:val="009B5D18"/>
    <w:rsid w:val="009B72A5"/>
    <w:rsid w:val="009C1FD0"/>
    <w:rsid w:val="009C2BFF"/>
    <w:rsid w:val="009C3668"/>
    <w:rsid w:val="009C3720"/>
    <w:rsid w:val="009C5A65"/>
    <w:rsid w:val="009C715C"/>
    <w:rsid w:val="009C7276"/>
    <w:rsid w:val="009D0991"/>
    <w:rsid w:val="009D581E"/>
    <w:rsid w:val="009D5CE7"/>
    <w:rsid w:val="009D698F"/>
    <w:rsid w:val="009E069F"/>
    <w:rsid w:val="009E0BAA"/>
    <w:rsid w:val="009F0858"/>
    <w:rsid w:val="009F2460"/>
    <w:rsid w:val="009F310E"/>
    <w:rsid w:val="009F4B68"/>
    <w:rsid w:val="009F4C65"/>
    <w:rsid w:val="009F77E1"/>
    <w:rsid w:val="00A00D1A"/>
    <w:rsid w:val="00A03061"/>
    <w:rsid w:val="00A034FD"/>
    <w:rsid w:val="00A076D2"/>
    <w:rsid w:val="00A0790C"/>
    <w:rsid w:val="00A07A9D"/>
    <w:rsid w:val="00A07E37"/>
    <w:rsid w:val="00A118D8"/>
    <w:rsid w:val="00A2111E"/>
    <w:rsid w:val="00A2137F"/>
    <w:rsid w:val="00A22592"/>
    <w:rsid w:val="00A23F79"/>
    <w:rsid w:val="00A31443"/>
    <w:rsid w:val="00A326D6"/>
    <w:rsid w:val="00A34A94"/>
    <w:rsid w:val="00A3565A"/>
    <w:rsid w:val="00A4475E"/>
    <w:rsid w:val="00A473EF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46F4"/>
    <w:rsid w:val="00A84B41"/>
    <w:rsid w:val="00A85FAA"/>
    <w:rsid w:val="00A87EE5"/>
    <w:rsid w:val="00A93A5A"/>
    <w:rsid w:val="00A95F65"/>
    <w:rsid w:val="00A96626"/>
    <w:rsid w:val="00AA1FA9"/>
    <w:rsid w:val="00AA448A"/>
    <w:rsid w:val="00AA51E4"/>
    <w:rsid w:val="00AA7A97"/>
    <w:rsid w:val="00AB086C"/>
    <w:rsid w:val="00AB0BBB"/>
    <w:rsid w:val="00AB1C41"/>
    <w:rsid w:val="00AB3EDC"/>
    <w:rsid w:val="00AB6396"/>
    <w:rsid w:val="00AC2017"/>
    <w:rsid w:val="00AD2006"/>
    <w:rsid w:val="00AD3C8D"/>
    <w:rsid w:val="00AD4053"/>
    <w:rsid w:val="00AD6D2C"/>
    <w:rsid w:val="00AE02F0"/>
    <w:rsid w:val="00AE1721"/>
    <w:rsid w:val="00AE3360"/>
    <w:rsid w:val="00AE5FE1"/>
    <w:rsid w:val="00AF1267"/>
    <w:rsid w:val="00AF28ED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C35"/>
    <w:rsid w:val="00B2017D"/>
    <w:rsid w:val="00B21BB5"/>
    <w:rsid w:val="00B23721"/>
    <w:rsid w:val="00B23918"/>
    <w:rsid w:val="00B26E44"/>
    <w:rsid w:val="00B2776B"/>
    <w:rsid w:val="00B27839"/>
    <w:rsid w:val="00B278A8"/>
    <w:rsid w:val="00B27C71"/>
    <w:rsid w:val="00B27E0E"/>
    <w:rsid w:val="00B336C6"/>
    <w:rsid w:val="00B34202"/>
    <w:rsid w:val="00B3446E"/>
    <w:rsid w:val="00B35E29"/>
    <w:rsid w:val="00B36D85"/>
    <w:rsid w:val="00B40DAE"/>
    <w:rsid w:val="00B411A6"/>
    <w:rsid w:val="00B41A00"/>
    <w:rsid w:val="00B41F55"/>
    <w:rsid w:val="00B434CA"/>
    <w:rsid w:val="00B43B85"/>
    <w:rsid w:val="00B44443"/>
    <w:rsid w:val="00B46F54"/>
    <w:rsid w:val="00B47094"/>
    <w:rsid w:val="00B47362"/>
    <w:rsid w:val="00B47E99"/>
    <w:rsid w:val="00B5088A"/>
    <w:rsid w:val="00B52BA4"/>
    <w:rsid w:val="00B52F59"/>
    <w:rsid w:val="00B530C7"/>
    <w:rsid w:val="00B55395"/>
    <w:rsid w:val="00B604BC"/>
    <w:rsid w:val="00B62909"/>
    <w:rsid w:val="00B65630"/>
    <w:rsid w:val="00B71935"/>
    <w:rsid w:val="00B71F06"/>
    <w:rsid w:val="00B72BEA"/>
    <w:rsid w:val="00B8243B"/>
    <w:rsid w:val="00B853D5"/>
    <w:rsid w:val="00B86730"/>
    <w:rsid w:val="00B9036B"/>
    <w:rsid w:val="00B90EEC"/>
    <w:rsid w:val="00B957EC"/>
    <w:rsid w:val="00B9645E"/>
    <w:rsid w:val="00B97FE3"/>
    <w:rsid w:val="00BA0AB3"/>
    <w:rsid w:val="00BA0ACA"/>
    <w:rsid w:val="00BA2FE7"/>
    <w:rsid w:val="00BA624D"/>
    <w:rsid w:val="00BA71C4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23C6A"/>
    <w:rsid w:val="00C25123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EBB"/>
    <w:rsid w:val="00C62701"/>
    <w:rsid w:val="00C70F3E"/>
    <w:rsid w:val="00C70F7D"/>
    <w:rsid w:val="00C72680"/>
    <w:rsid w:val="00C7277E"/>
    <w:rsid w:val="00C74E84"/>
    <w:rsid w:val="00C75B02"/>
    <w:rsid w:val="00C77A6F"/>
    <w:rsid w:val="00C82DBC"/>
    <w:rsid w:val="00C84DCF"/>
    <w:rsid w:val="00C86678"/>
    <w:rsid w:val="00C91427"/>
    <w:rsid w:val="00C92E07"/>
    <w:rsid w:val="00C933E2"/>
    <w:rsid w:val="00C94B71"/>
    <w:rsid w:val="00CA3526"/>
    <w:rsid w:val="00CA3E12"/>
    <w:rsid w:val="00CA3FFD"/>
    <w:rsid w:val="00CA6BCE"/>
    <w:rsid w:val="00CA7E43"/>
    <w:rsid w:val="00CB223A"/>
    <w:rsid w:val="00CB2904"/>
    <w:rsid w:val="00CC06AD"/>
    <w:rsid w:val="00CC22A8"/>
    <w:rsid w:val="00CC3681"/>
    <w:rsid w:val="00CC41E8"/>
    <w:rsid w:val="00CC58AC"/>
    <w:rsid w:val="00CD1326"/>
    <w:rsid w:val="00CD29AD"/>
    <w:rsid w:val="00CD5DAE"/>
    <w:rsid w:val="00CE0574"/>
    <w:rsid w:val="00CE0695"/>
    <w:rsid w:val="00CE24A0"/>
    <w:rsid w:val="00CE2634"/>
    <w:rsid w:val="00CE768F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02BE4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61A6"/>
    <w:rsid w:val="00D557AE"/>
    <w:rsid w:val="00D61382"/>
    <w:rsid w:val="00D62B10"/>
    <w:rsid w:val="00D72980"/>
    <w:rsid w:val="00D75D06"/>
    <w:rsid w:val="00D84B27"/>
    <w:rsid w:val="00D85E39"/>
    <w:rsid w:val="00D87C6A"/>
    <w:rsid w:val="00D87DD4"/>
    <w:rsid w:val="00D910DC"/>
    <w:rsid w:val="00D95BD9"/>
    <w:rsid w:val="00DA360E"/>
    <w:rsid w:val="00DA4163"/>
    <w:rsid w:val="00DA423C"/>
    <w:rsid w:val="00DA610B"/>
    <w:rsid w:val="00DA7031"/>
    <w:rsid w:val="00DC06BE"/>
    <w:rsid w:val="00DC1F3B"/>
    <w:rsid w:val="00DC45B8"/>
    <w:rsid w:val="00DD19B2"/>
    <w:rsid w:val="00DD2284"/>
    <w:rsid w:val="00DD3F9A"/>
    <w:rsid w:val="00DD4E23"/>
    <w:rsid w:val="00DD6140"/>
    <w:rsid w:val="00DE052A"/>
    <w:rsid w:val="00DE05AD"/>
    <w:rsid w:val="00DE2489"/>
    <w:rsid w:val="00DE4569"/>
    <w:rsid w:val="00DE4D70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2829"/>
    <w:rsid w:val="00E1393A"/>
    <w:rsid w:val="00E221D7"/>
    <w:rsid w:val="00E22C1B"/>
    <w:rsid w:val="00E2543B"/>
    <w:rsid w:val="00E266A0"/>
    <w:rsid w:val="00E27A55"/>
    <w:rsid w:val="00E32923"/>
    <w:rsid w:val="00E33497"/>
    <w:rsid w:val="00E3684E"/>
    <w:rsid w:val="00E36DBA"/>
    <w:rsid w:val="00E41D12"/>
    <w:rsid w:val="00E4581D"/>
    <w:rsid w:val="00E47078"/>
    <w:rsid w:val="00E506A2"/>
    <w:rsid w:val="00E52127"/>
    <w:rsid w:val="00E521E9"/>
    <w:rsid w:val="00E52F57"/>
    <w:rsid w:val="00E53577"/>
    <w:rsid w:val="00E5394B"/>
    <w:rsid w:val="00E56D51"/>
    <w:rsid w:val="00E651B7"/>
    <w:rsid w:val="00E66BD7"/>
    <w:rsid w:val="00E67094"/>
    <w:rsid w:val="00E74ED7"/>
    <w:rsid w:val="00E816C9"/>
    <w:rsid w:val="00E849B7"/>
    <w:rsid w:val="00E86C0E"/>
    <w:rsid w:val="00E87EF5"/>
    <w:rsid w:val="00E906D9"/>
    <w:rsid w:val="00E9172F"/>
    <w:rsid w:val="00E94C7D"/>
    <w:rsid w:val="00E94CD2"/>
    <w:rsid w:val="00EA778E"/>
    <w:rsid w:val="00EB0FAA"/>
    <w:rsid w:val="00EB2B9A"/>
    <w:rsid w:val="00EB74C7"/>
    <w:rsid w:val="00EB76E6"/>
    <w:rsid w:val="00EB7DFA"/>
    <w:rsid w:val="00EC1ED9"/>
    <w:rsid w:val="00EC262E"/>
    <w:rsid w:val="00EC2BAD"/>
    <w:rsid w:val="00EC2C95"/>
    <w:rsid w:val="00EC3E77"/>
    <w:rsid w:val="00EC51FF"/>
    <w:rsid w:val="00EC5E18"/>
    <w:rsid w:val="00EC6B29"/>
    <w:rsid w:val="00ED378D"/>
    <w:rsid w:val="00EE2B3E"/>
    <w:rsid w:val="00EE2FCA"/>
    <w:rsid w:val="00EE347B"/>
    <w:rsid w:val="00EE393C"/>
    <w:rsid w:val="00EE55E3"/>
    <w:rsid w:val="00EE653E"/>
    <w:rsid w:val="00EF1597"/>
    <w:rsid w:val="00EF28CC"/>
    <w:rsid w:val="00EF32B4"/>
    <w:rsid w:val="00EF40EF"/>
    <w:rsid w:val="00EF468C"/>
    <w:rsid w:val="00EF7AA4"/>
    <w:rsid w:val="00F04A52"/>
    <w:rsid w:val="00F10819"/>
    <w:rsid w:val="00F1712D"/>
    <w:rsid w:val="00F20C80"/>
    <w:rsid w:val="00F225D6"/>
    <w:rsid w:val="00F2462A"/>
    <w:rsid w:val="00F3251C"/>
    <w:rsid w:val="00F3347E"/>
    <w:rsid w:val="00F33CD6"/>
    <w:rsid w:val="00F45794"/>
    <w:rsid w:val="00F46349"/>
    <w:rsid w:val="00F4674F"/>
    <w:rsid w:val="00F4717D"/>
    <w:rsid w:val="00F47590"/>
    <w:rsid w:val="00F52BA7"/>
    <w:rsid w:val="00F539A5"/>
    <w:rsid w:val="00F54451"/>
    <w:rsid w:val="00F54CE3"/>
    <w:rsid w:val="00F57004"/>
    <w:rsid w:val="00F62187"/>
    <w:rsid w:val="00F62C16"/>
    <w:rsid w:val="00F6396E"/>
    <w:rsid w:val="00F66331"/>
    <w:rsid w:val="00F671F4"/>
    <w:rsid w:val="00F71F27"/>
    <w:rsid w:val="00F743B4"/>
    <w:rsid w:val="00F74F5F"/>
    <w:rsid w:val="00F8290E"/>
    <w:rsid w:val="00F83565"/>
    <w:rsid w:val="00F8466D"/>
    <w:rsid w:val="00FA0939"/>
    <w:rsid w:val="00FA0BC8"/>
    <w:rsid w:val="00FA139D"/>
    <w:rsid w:val="00FA38C7"/>
    <w:rsid w:val="00FB2F54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3840"/>
    <w:rsid w:val="00FE0CA8"/>
    <w:rsid w:val="00FE743C"/>
    <w:rsid w:val="00FF2B3A"/>
    <w:rsid w:val="00FF5179"/>
    <w:rsid w:val="00FF6280"/>
    <w:rsid w:val="01B16E4F"/>
    <w:rsid w:val="01DA58F3"/>
    <w:rsid w:val="02931935"/>
    <w:rsid w:val="02BF775B"/>
    <w:rsid w:val="038E455F"/>
    <w:rsid w:val="03E4342C"/>
    <w:rsid w:val="04000857"/>
    <w:rsid w:val="04F140D3"/>
    <w:rsid w:val="055333C6"/>
    <w:rsid w:val="06B157AE"/>
    <w:rsid w:val="06E06096"/>
    <w:rsid w:val="087B555C"/>
    <w:rsid w:val="09C35B28"/>
    <w:rsid w:val="09CA093F"/>
    <w:rsid w:val="09D32F2C"/>
    <w:rsid w:val="0A525455"/>
    <w:rsid w:val="0A962AFF"/>
    <w:rsid w:val="0AA26433"/>
    <w:rsid w:val="0AB14EF5"/>
    <w:rsid w:val="0B177AF8"/>
    <w:rsid w:val="0D22141A"/>
    <w:rsid w:val="0F8F2760"/>
    <w:rsid w:val="107C5919"/>
    <w:rsid w:val="11041D14"/>
    <w:rsid w:val="112F02A0"/>
    <w:rsid w:val="14465580"/>
    <w:rsid w:val="148F7FD5"/>
    <w:rsid w:val="149B2001"/>
    <w:rsid w:val="14FA069D"/>
    <w:rsid w:val="150F669C"/>
    <w:rsid w:val="159D4F71"/>
    <w:rsid w:val="16BC3FF9"/>
    <w:rsid w:val="175865CA"/>
    <w:rsid w:val="1A2C2203"/>
    <w:rsid w:val="1A7F38A5"/>
    <w:rsid w:val="1B3E5C13"/>
    <w:rsid w:val="1B7C584E"/>
    <w:rsid w:val="1BB36EB4"/>
    <w:rsid w:val="1E301B9F"/>
    <w:rsid w:val="1E517444"/>
    <w:rsid w:val="209529AE"/>
    <w:rsid w:val="22F549A2"/>
    <w:rsid w:val="23593C8E"/>
    <w:rsid w:val="23704BDE"/>
    <w:rsid w:val="247A4F1B"/>
    <w:rsid w:val="257D3C09"/>
    <w:rsid w:val="25AB48BF"/>
    <w:rsid w:val="27355263"/>
    <w:rsid w:val="27891639"/>
    <w:rsid w:val="278A17E4"/>
    <w:rsid w:val="27B476A6"/>
    <w:rsid w:val="27CE7B0B"/>
    <w:rsid w:val="286325F2"/>
    <w:rsid w:val="2B4B4CB5"/>
    <w:rsid w:val="2B8767CF"/>
    <w:rsid w:val="2C0C4511"/>
    <w:rsid w:val="2C3A7B30"/>
    <w:rsid w:val="2CB03501"/>
    <w:rsid w:val="2D374DF3"/>
    <w:rsid w:val="2DDE57A8"/>
    <w:rsid w:val="2E2655D6"/>
    <w:rsid w:val="2E510741"/>
    <w:rsid w:val="2F9409CE"/>
    <w:rsid w:val="2FC85DD5"/>
    <w:rsid w:val="306814F8"/>
    <w:rsid w:val="31740730"/>
    <w:rsid w:val="319B44F9"/>
    <w:rsid w:val="31F57502"/>
    <w:rsid w:val="328E3492"/>
    <w:rsid w:val="356E72EC"/>
    <w:rsid w:val="361F6EA6"/>
    <w:rsid w:val="37B05FEC"/>
    <w:rsid w:val="38166404"/>
    <w:rsid w:val="384B48D8"/>
    <w:rsid w:val="384F3593"/>
    <w:rsid w:val="38DD7404"/>
    <w:rsid w:val="38E53520"/>
    <w:rsid w:val="38F83AE4"/>
    <w:rsid w:val="39FB157F"/>
    <w:rsid w:val="3B6F0E10"/>
    <w:rsid w:val="3D1D18E5"/>
    <w:rsid w:val="3EA33928"/>
    <w:rsid w:val="3F187251"/>
    <w:rsid w:val="41FA23F0"/>
    <w:rsid w:val="421F79B3"/>
    <w:rsid w:val="4309548A"/>
    <w:rsid w:val="436B13C8"/>
    <w:rsid w:val="436E5024"/>
    <w:rsid w:val="443D361B"/>
    <w:rsid w:val="45457C2F"/>
    <w:rsid w:val="478B5409"/>
    <w:rsid w:val="47EC3A04"/>
    <w:rsid w:val="487A7276"/>
    <w:rsid w:val="4AD1587E"/>
    <w:rsid w:val="4B2F63D2"/>
    <w:rsid w:val="4BFB6906"/>
    <w:rsid w:val="4C744CC4"/>
    <w:rsid w:val="4DDD20A0"/>
    <w:rsid w:val="4F894FED"/>
    <w:rsid w:val="4FE442AD"/>
    <w:rsid w:val="50B3429D"/>
    <w:rsid w:val="51055CFB"/>
    <w:rsid w:val="5119199D"/>
    <w:rsid w:val="52EB3A96"/>
    <w:rsid w:val="53427D28"/>
    <w:rsid w:val="54A808F4"/>
    <w:rsid w:val="589F1CE6"/>
    <w:rsid w:val="5A4D1F2C"/>
    <w:rsid w:val="5A9802AF"/>
    <w:rsid w:val="5AC30B38"/>
    <w:rsid w:val="5BA04553"/>
    <w:rsid w:val="5C19081C"/>
    <w:rsid w:val="5D187049"/>
    <w:rsid w:val="5DEB3F29"/>
    <w:rsid w:val="5E32228B"/>
    <w:rsid w:val="5F1A48E3"/>
    <w:rsid w:val="610C2720"/>
    <w:rsid w:val="634521E9"/>
    <w:rsid w:val="63834851"/>
    <w:rsid w:val="649005B4"/>
    <w:rsid w:val="65660581"/>
    <w:rsid w:val="65CB3246"/>
    <w:rsid w:val="665E1E61"/>
    <w:rsid w:val="668B2F53"/>
    <w:rsid w:val="675075AE"/>
    <w:rsid w:val="68115166"/>
    <w:rsid w:val="68C210BC"/>
    <w:rsid w:val="6A432BA7"/>
    <w:rsid w:val="6BDD012E"/>
    <w:rsid w:val="6E001B20"/>
    <w:rsid w:val="6E8E4324"/>
    <w:rsid w:val="6EB33887"/>
    <w:rsid w:val="6EEE2EDF"/>
    <w:rsid w:val="6FF65A4E"/>
    <w:rsid w:val="70F70739"/>
    <w:rsid w:val="71895DB0"/>
    <w:rsid w:val="71F13C19"/>
    <w:rsid w:val="71F52906"/>
    <w:rsid w:val="7229018C"/>
    <w:rsid w:val="72AD4CF9"/>
    <w:rsid w:val="72C63ED1"/>
    <w:rsid w:val="73135F51"/>
    <w:rsid w:val="733D003F"/>
    <w:rsid w:val="73C70602"/>
    <w:rsid w:val="75F54FD2"/>
    <w:rsid w:val="767708BE"/>
    <w:rsid w:val="76E93F5E"/>
    <w:rsid w:val="78111B31"/>
    <w:rsid w:val="7867125A"/>
    <w:rsid w:val="796816A5"/>
    <w:rsid w:val="7ACC2D83"/>
    <w:rsid w:val="7AD00ADD"/>
    <w:rsid w:val="7B0F257F"/>
    <w:rsid w:val="7D9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 w:locked="1"/>
    <w:lsdException w:uiPriority="0" w:name="index 2" w:locked="1"/>
    <w:lsdException w:uiPriority="0" w:name="index 3" w:locked="1"/>
    <w:lsdException w:uiPriority="0" w:name="index 4" w:locked="1"/>
    <w:lsdException w:uiPriority="0" w:name="index 5" w:locked="1"/>
    <w:lsdException w:uiPriority="0" w:name="index 6" w:locked="1"/>
    <w:lsdException w:uiPriority="0" w:name="index 7" w:locked="1"/>
    <w:lsdException w:uiPriority="0" w:name="index 8" w:locked="1"/>
    <w:lsdException w:uiPriority="0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 w:locked="1"/>
    <w:lsdException w:uiPriority="39" w:name="toc 5" w:locked="1"/>
    <w:lsdException w:qFormat="1" w:unhideWhenUsed="0" w:uiPriority="99" w:name="toc 6"/>
    <w:lsdException w:qFormat="1" w:unhideWhenUsed="0" w:uiPriority="99" w:name="toc 7"/>
    <w:lsdException w:uiPriority="39" w:name="toc 8" w:locked="1"/>
    <w:lsdException w:uiPriority="39" w:name="toc 9" w:locked="1"/>
    <w:lsdException w:uiPriority="0" w:name="Normal Indent" w:locked="1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 w:locked="1"/>
    <w:lsdException w:qFormat="1" w:unhideWhenUsed="0" w:uiPriority="99" w:semiHidden="0" w:name="caption"/>
    <w:lsdException w:qFormat="1" w:unhideWhenUsed="0" w:uiPriority="99" w:semiHidden="0" w:name="table of figures"/>
    <w:lsdException w:uiPriority="0" w:name="envelope address" w:locked="1"/>
    <w:lsdException w:uiPriority="0" w:name="envelope return" w:locked="1"/>
    <w:lsdException w:qFormat="1" w:unhideWhenUsed="0" w:uiPriority="99" w:semiHidden="0" w:name="footnote reference"/>
    <w:lsdException w:qFormat="1" w:unhideWhenUsed="0" w:uiPriority="99" w:semiHidden="0" w:name="annotation reference"/>
    <w:lsdException w:uiPriority="0" w:name="line number" w:locked="1"/>
    <w:lsdException w:qFormat="1" w:unhideWhenUsed="0" w:uiPriority="99" w:semiHidden="0" w:name="page number"/>
    <w:lsdException w:uiPriority="0" w:name="endnote reference" w:locked="1"/>
    <w:lsdException w:uiPriority="0" w:name="endnote text" w:locked="1"/>
    <w:lsdException w:uiPriority="0" w:name="table of authorities" w:locked="1"/>
    <w:lsdException w:uiPriority="0" w:name="macro" w:locked="1"/>
    <w:lsdException w:qFormat="1" w:unhideWhenUsed="0" w:uiPriority="99" w:semiHidden="0" w:name="toa heading"/>
    <w:lsdException w:uiPriority="0" w:name="List" w:locked="1"/>
    <w:lsdException w:uiPriority="0" w:name="List Bullet" w:locked="1"/>
    <w:lsdException w:uiPriority="0" w:name="List Number" w:locked="1"/>
    <w:lsdException w:uiPriority="0" w:name="List 2" w:locked="1"/>
    <w:lsdException w:uiPriority="0" w:name="List 3" w:locked="1"/>
    <w:lsdException w:uiPriority="0" w:name="List 4" w:locked="1"/>
    <w:lsdException w:uiPriority="0" w:name="List 5" w:locked="1"/>
    <w:lsdException w:uiPriority="0" w:name="List Bullet 2" w:locked="1"/>
    <w:lsdException w:uiPriority="0" w:name="List Bullet 3" w:locked="1"/>
    <w:lsdException w:uiPriority="0" w:name="List Bullet 4" w:locked="1"/>
    <w:lsdException w:uiPriority="0" w:name="List Bullet 5" w:locked="1"/>
    <w:lsdException w:uiPriority="0" w:name="List Number 2" w:locked="1"/>
    <w:lsdException w:uiPriority="0" w:name="List Number 3" w:locked="1"/>
    <w:lsdException w:uiPriority="0" w:name="List Number 4" w:locked="1"/>
    <w:lsdException w:uiPriority="0" w:name="List Number 5" w:locked="1"/>
    <w:lsdException w:qFormat="1" w:unhideWhenUsed="0" w:uiPriority="99" w:semiHidden="0" w:name="Title"/>
    <w:lsdException w:uiPriority="0" w:name="Closing" w:locked="1"/>
    <w:lsdException w:uiPriority="0" w:name="Signature" w:locked="1"/>
    <w:lsdException w:qFormat="1"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0" w:name="List Continue" w:locked="1"/>
    <w:lsdException w:uiPriority="0" w:name="List Continue 2" w:locked="1"/>
    <w:lsdException w:uiPriority="0" w:name="List Continue 3" w:locked="1"/>
    <w:lsdException w:uiPriority="0" w:name="List Continue 4" w:locked="1"/>
    <w:lsdException w:uiPriority="0" w:name="List Continue 5" w:locked="1"/>
    <w:lsdException w:uiPriority="0" w:name="Message Header" w:locked="1"/>
    <w:lsdException w:qFormat="1" w:unhideWhenUsed="0" w:uiPriority="99" w:semiHidden="0" w:name="Subtitle"/>
    <w:lsdException w:uiPriority="0" w:name="Salutation" w:locked="1"/>
    <w:lsdException w:uiPriority="0" w:name="Date" w:locked="1"/>
    <w:lsdException w:uiPriority="0" w:name="Body Text First Indent" w:locked="1"/>
    <w:lsdException w:uiPriority="0" w:name="Body Text First Indent 2" w:locked="1"/>
    <w:lsdException w:uiPriority="0" w:name="Note Heading" w:locked="1"/>
    <w:lsdException w:uiPriority="0" w:name="Body Text 2" w:locked="1"/>
    <w:lsdException w:uiPriority="0" w:name="Body Text 3" w:locked="1"/>
    <w:lsdException w:uiPriority="0" w:name="Body Text Indent 2" w:locked="1"/>
    <w:lsdException w:uiPriority="0" w:name="Body Text Indent 3" w:locked="1"/>
    <w:lsdException w:uiPriority="0" w:name="Block Text" w:locked="1"/>
    <w:lsdException w:qFormat="1" w:unhideWhenUsed="0" w:uiPriority="99" w:semiHidden="0" w:name="Hyperlink"/>
    <w:lsdException w:qFormat="1" w:uiPriority="0" w:semiHidden="0" w:name="FollowedHyperlink" w:locked="1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name="Document Map"/>
    <w:lsdException w:uiPriority="0" w:name="Plain Text" w:locked="1"/>
    <w:lsdException w:uiPriority="0" w:name="E-mail Signature" w:locked="1"/>
    <w:lsdException w:qFormat="1" w:unhideWhenUsed="0" w:uiPriority="99" w:semiHidden="0" w:name="Normal (Web)"/>
    <w:lsdException w:uiPriority="0" w:name="HTML Acronym" w:locked="1"/>
    <w:lsdException w:uiPriority="0" w:name="HTML Address" w:locked="1"/>
    <w:lsdException w:qFormat="1" w:uiPriority="0" w:semiHidden="0" w:name="HTML Cite" w:locked="1"/>
    <w:lsdException w:qFormat="1" w:uiPriority="0" w:semiHidden="0" w:name="HTML Code" w:locked="1"/>
    <w:lsdException w:qFormat="1" w:uiPriority="0" w:semiHidden="0" w:name="HTML Definition" w:locked="1"/>
    <w:lsdException w:uiPriority="0" w:name="HTML Keyboard" w:locked="1"/>
    <w:lsdException w:uiPriority="0" w:name="HTML Preformatted" w:locked="1"/>
    <w:lsdException w:uiPriority="0" w:name="HTML Sample" w:locked="1"/>
    <w:lsdException w:uiPriority="0" w:name="HTML Typewriter" w:locked="1"/>
    <w:lsdException w:qFormat="1" w:uiPriority="0" w:semiHidden="0" w:name="HTML Variable" w:locked="1"/>
    <w:lsdException w:qFormat="1" w:uiPriority="99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560" w:lineRule="exact"/>
      <w:ind w:firstLine="560" w:firstLineChars="200"/>
      <w:jc w:val="both"/>
    </w:pPr>
    <w:rPr>
      <w:rFonts w:ascii="Times New Roman" w:hAnsi="Times New Roman" w:eastAsia="宋体" w:cs="Times New Roman"/>
      <w:sz w:val="28"/>
      <w:lang w:val="en-US" w:eastAsia="en-US" w:bidi="ar-SA"/>
    </w:rPr>
  </w:style>
  <w:style w:type="paragraph" w:styleId="2">
    <w:name w:val="heading 1"/>
    <w:basedOn w:val="1"/>
    <w:next w:val="1"/>
    <w:link w:val="86"/>
    <w:qFormat/>
    <w:uiPriority w:val="99"/>
    <w:pPr>
      <w:keepNext/>
      <w:keepLines/>
      <w:spacing w:after="200"/>
      <w:ind w:firstLine="0"/>
      <w:jc w:val="left"/>
      <w:outlineLvl w:val="0"/>
    </w:pPr>
    <w:rPr>
      <w:rFonts w:eastAsia="黑体" w:cs="Calibri"/>
      <w:bCs/>
      <w:color w:val="0B3558"/>
      <w:kern w:val="32"/>
      <w:sz w:val="32"/>
      <w:szCs w:val="32"/>
      <w:lang w:eastAsia="zh-CN"/>
    </w:rPr>
  </w:style>
  <w:style w:type="paragraph" w:styleId="3">
    <w:name w:val="heading 2"/>
    <w:basedOn w:val="1"/>
    <w:next w:val="1"/>
    <w:link w:val="68"/>
    <w:qFormat/>
    <w:uiPriority w:val="99"/>
    <w:pPr>
      <w:keepNext/>
      <w:keepLines/>
      <w:spacing w:before="200" w:beforeLines="50" w:after="80"/>
      <w:ind w:firstLine="0" w:firstLineChars="0"/>
      <w:jc w:val="left"/>
      <w:outlineLvl w:val="1"/>
    </w:pPr>
    <w:rPr>
      <w:rFonts w:eastAsia="楷体" w:cs="Calibri"/>
      <w:iCs/>
      <w:color w:val="0B3558"/>
      <w:sz w:val="32"/>
      <w:szCs w:val="28"/>
      <w:lang w:eastAsia="zh-CN"/>
    </w:rPr>
  </w:style>
  <w:style w:type="paragraph" w:styleId="4">
    <w:name w:val="heading 3"/>
    <w:basedOn w:val="1"/>
    <w:next w:val="1"/>
    <w:link w:val="95"/>
    <w:qFormat/>
    <w:uiPriority w:val="99"/>
    <w:pPr>
      <w:keepNext/>
      <w:keepLines/>
      <w:spacing w:before="120" w:beforeLines="50"/>
      <w:ind w:firstLine="0" w:firstLineChars="0"/>
      <w:jc w:val="left"/>
      <w:outlineLvl w:val="2"/>
    </w:pPr>
    <w:rPr>
      <w:rFonts w:cs="Calibri"/>
      <w:b/>
      <w:bCs/>
      <w:color w:val="0B3558"/>
      <w:lang w:eastAsia="zh-CN"/>
    </w:rPr>
  </w:style>
  <w:style w:type="paragraph" w:styleId="5">
    <w:name w:val="heading 4"/>
    <w:basedOn w:val="1"/>
    <w:next w:val="1"/>
    <w:link w:val="85"/>
    <w:qFormat/>
    <w:uiPriority w:val="99"/>
    <w:pPr>
      <w:keepNext/>
      <w:spacing w:before="240" w:after="60"/>
      <w:outlineLvl w:val="3"/>
    </w:pPr>
    <w:rPr>
      <w:rFonts w:ascii="Calibri" w:hAnsi="Calibri"/>
      <w:b/>
      <w:bCs/>
      <w:szCs w:val="28"/>
      <w:lang w:eastAsia="zh-CN"/>
    </w:rPr>
  </w:style>
  <w:style w:type="paragraph" w:styleId="6">
    <w:name w:val="heading 5"/>
    <w:basedOn w:val="1"/>
    <w:next w:val="1"/>
    <w:link w:val="123"/>
    <w:qFormat/>
    <w:uiPriority w:val="9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zh-CN"/>
    </w:rPr>
  </w:style>
  <w:style w:type="paragraph" w:styleId="7">
    <w:name w:val="heading 6"/>
    <w:basedOn w:val="1"/>
    <w:next w:val="1"/>
    <w:link w:val="59"/>
    <w:qFormat/>
    <w:uiPriority w:val="99"/>
    <w:pPr>
      <w:spacing w:before="240" w:after="60"/>
      <w:outlineLvl w:val="5"/>
    </w:pPr>
    <w:rPr>
      <w:rFonts w:ascii="Calibri" w:hAnsi="Calibri"/>
      <w:b/>
      <w:bCs/>
      <w:sz w:val="20"/>
      <w:lang w:eastAsia="zh-CN"/>
    </w:rPr>
  </w:style>
  <w:style w:type="paragraph" w:styleId="8">
    <w:name w:val="heading 7"/>
    <w:basedOn w:val="1"/>
    <w:next w:val="1"/>
    <w:link w:val="112"/>
    <w:qFormat/>
    <w:uiPriority w:val="99"/>
    <w:pPr>
      <w:spacing w:before="240" w:after="60"/>
      <w:outlineLvl w:val="6"/>
    </w:pPr>
    <w:rPr>
      <w:rFonts w:ascii="Calibri" w:hAnsi="Calibri"/>
      <w:szCs w:val="24"/>
      <w:lang w:eastAsia="zh-CN"/>
    </w:rPr>
  </w:style>
  <w:style w:type="paragraph" w:styleId="9">
    <w:name w:val="heading 8"/>
    <w:basedOn w:val="1"/>
    <w:next w:val="1"/>
    <w:link w:val="87"/>
    <w:qFormat/>
    <w:uiPriority w:val="99"/>
    <w:pPr>
      <w:spacing w:before="240" w:after="60"/>
      <w:outlineLvl w:val="7"/>
    </w:pPr>
    <w:rPr>
      <w:rFonts w:ascii="Calibri" w:hAnsi="Calibri"/>
      <w:i/>
      <w:iCs/>
      <w:szCs w:val="24"/>
      <w:lang w:eastAsia="zh-CN"/>
    </w:rPr>
  </w:style>
  <w:style w:type="paragraph" w:styleId="10">
    <w:name w:val="heading 9"/>
    <w:basedOn w:val="1"/>
    <w:next w:val="1"/>
    <w:link w:val="91"/>
    <w:qFormat/>
    <w:uiPriority w:val="99"/>
    <w:pPr>
      <w:spacing w:before="240" w:after="60"/>
      <w:outlineLvl w:val="8"/>
    </w:pPr>
    <w:rPr>
      <w:rFonts w:ascii="Cambria" w:hAnsi="Cambria"/>
      <w:sz w:val="20"/>
      <w:lang w:eastAsia="zh-CN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99"/>
    <w:pPr>
      <w:widowControl w:val="0"/>
      <w:ind w:left="2520" w:leftChars="1200"/>
    </w:pPr>
    <w:rPr>
      <w:kern w:val="2"/>
      <w:sz w:val="21"/>
    </w:rPr>
  </w:style>
  <w:style w:type="paragraph" w:styleId="12">
    <w:name w:val="caption"/>
    <w:basedOn w:val="1"/>
    <w:next w:val="1"/>
    <w:qFormat/>
    <w:uiPriority w:val="99"/>
    <w:pPr>
      <w:jc w:val="center"/>
    </w:pPr>
    <w:rPr>
      <w:rFonts w:ascii="黑体" w:hAnsi="黑体" w:eastAsia="黑体"/>
      <w:szCs w:val="24"/>
      <w:lang w:eastAsia="zh-CN"/>
    </w:rPr>
  </w:style>
  <w:style w:type="paragraph" w:styleId="13">
    <w:name w:val="Document Map"/>
    <w:basedOn w:val="1"/>
    <w:link w:val="74"/>
    <w:semiHidden/>
    <w:qFormat/>
    <w:uiPriority w:val="99"/>
    <w:pPr>
      <w:shd w:val="clear" w:color="auto" w:fill="000080"/>
    </w:pPr>
  </w:style>
  <w:style w:type="paragraph" w:styleId="14">
    <w:name w:val="toa heading"/>
    <w:basedOn w:val="1"/>
    <w:next w:val="1"/>
    <w:qFormat/>
    <w:uiPriority w:val="99"/>
    <w:pPr>
      <w:spacing w:before="120"/>
    </w:pPr>
    <w:rPr>
      <w:rFonts w:ascii="Cambria" w:hAnsi="Cambria"/>
      <w:szCs w:val="24"/>
    </w:rPr>
  </w:style>
  <w:style w:type="paragraph" w:styleId="15">
    <w:name w:val="annotation text"/>
    <w:basedOn w:val="1"/>
    <w:link w:val="61"/>
    <w:qFormat/>
    <w:uiPriority w:val="99"/>
    <w:rPr>
      <w:rFonts w:cs="Calibri"/>
    </w:rPr>
  </w:style>
  <w:style w:type="paragraph" w:styleId="16">
    <w:name w:val="Body Text"/>
    <w:basedOn w:val="1"/>
    <w:link w:val="120"/>
    <w:qFormat/>
    <w:uiPriority w:val="99"/>
    <w:pPr>
      <w:widowControl w:val="0"/>
      <w:snapToGrid/>
      <w:spacing w:line="360" w:lineRule="auto"/>
      <w:ind w:firstLine="0" w:firstLineChars="0"/>
      <w:jc w:val="center"/>
    </w:pPr>
    <w:rPr>
      <w:b/>
      <w:kern w:val="2"/>
      <w:sz w:val="44"/>
      <w:lang w:eastAsia="zh-CN"/>
    </w:rPr>
  </w:style>
  <w:style w:type="paragraph" w:styleId="17">
    <w:name w:val="Body Text Indent"/>
    <w:basedOn w:val="1"/>
    <w:link w:val="106"/>
    <w:qFormat/>
    <w:uiPriority w:val="99"/>
    <w:pPr>
      <w:widowControl w:val="0"/>
      <w:snapToGrid/>
      <w:spacing w:line="240" w:lineRule="auto"/>
      <w:ind w:firstLine="420"/>
    </w:pPr>
    <w:rPr>
      <w:kern w:val="2"/>
      <w:sz w:val="21"/>
      <w:lang w:eastAsia="zh-CN"/>
    </w:rPr>
  </w:style>
  <w:style w:type="paragraph" w:styleId="18">
    <w:name w:val="toc 3"/>
    <w:basedOn w:val="1"/>
    <w:next w:val="1"/>
    <w:qFormat/>
    <w:uiPriority w:val="39"/>
    <w:pPr>
      <w:ind w:left="840" w:leftChars="400"/>
    </w:pPr>
  </w:style>
  <w:style w:type="paragraph" w:styleId="19">
    <w:name w:val="Balloon Text"/>
    <w:basedOn w:val="1"/>
    <w:link w:val="58"/>
    <w:semiHidden/>
    <w:qFormat/>
    <w:uiPriority w:val="99"/>
    <w:rPr>
      <w:sz w:val="18"/>
      <w:szCs w:val="18"/>
    </w:rPr>
  </w:style>
  <w:style w:type="paragraph" w:styleId="20">
    <w:name w:val="footer"/>
    <w:basedOn w:val="1"/>
    <w:link w:val="64"/>
    <w:qFormat/>
    <w:uiPriority w:val="99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21">
    <w:name w:val="header"/>
    <w:basedOn w:val="1"/>
    <w:link w:val="67"/>
    <w:qFormat/>
    <w:uiPriority w:val="99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9060"/>
      </w:tabs>
      <w:ind w:firstLine="960"/>
    </w:pPr>
    <w:rPr>
      <w:rFonts w:eastAsia="黑体"/>
      <w:lang w:eastAsia="zh-CN"/>
    </w:rPr>
  </w:style>
  <w:style w:type="paragraph" w:styleId="23">
    <w:name w:val="Subtitle"/>
    <w:basedOn w:val="1"/>
    <w:next w:val="1"/>
    <w:link w:val="84"/>
    <w:qFormat/>
    <w:uiPriority w:val="99"/>
    <w:pPr>
      <w:spacing w:after="60"/>
      <w:jc w:val="center"/>
      <w:outlineLvl w:val="1"/>
    </w:pPr>
    <w:rPr>
      <w:rFonts w:ascii="Cambria" w:hAnsi="Cambria"/>
      <w:szCs w:val="24"/>
      <w:lang w:eastAsia="zh-CN"/>
    </w:rPr>
  </w:style>
  <w:style w:type="paragraph" w:styleId="24">
    <w:name w:val="footnote text"/>
    <w:basedOn w:val="1"/>
    <w:link w:val="99"/>
    <w:qFormat/>
    <w:uiPriority w:val="99"/>
    <w:pPr>
      <w:jc w:val="left"/>
    </w:pPr>
    <w:rPr>
      <w:sz w:val="18"/>
    </w:rPr>
  </w:style>
  <w:style w:type="paragraph" w:styleId="25">
    <w:name w:val="toc 6"/>
    <w:basedOn w:val="1"/>
    <w:next w:val="1"/>
    <w:semiHidden/>
    <w:qFormat/>
    <w:uiPriority w:val="99"/>
    <w:pPr>
      <w:widowControl w:val="0"/>
      <w:ind w:left="2100" w:leftChars="1000"/>
    </w:pPr>
    <w:rPr>
      <w:kern w:val="2"/>
      <w:sz w:val="21"/>
    </w:rPr>
  </w:style>
  <w:style w:type="paragraph" w:styleId="26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qFormat/>
    <w:uiPriority w:val="99"/>
    <w:rPr>
      <w:szCs w:val="24"/>
    </w:rPr>
  </w:style>
  <w:style w:type="paragraph" w:styleId="29">
    <w:name w:val="Title"/>
    <w:basedOn w:val="1"/>
    <w:next w:val="1"/>
    <w:link w:val="49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zh-CN"/>
    </w:rPr>
  </w:style>
  <w:style w:type="paragraph" w:styleId="30">
    <w:name w:val="annotation subject"/>
    <w:basedOn w:val="15"/>
    <w:next w:val="15"/>
    <w:link w:val="102"/>
    <w:qFormat/>
    <w:uiPriority w:val="99"/>
    <w:rPr>
      <w:b/>
      <w:bCs/>
    </w:rPr>
  </w:style>
  <w:style w:type="table" w:styleId="32">
    <w:name w:val="Table Grid"/>
    <w:basedOn w:val="31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3">
    <w:name w:val="Table Simple 1"/>
    <w:basedOn w:val="31"/>
    <w:qFormat/>
    <w:uiPriority w:val="99"/>
    <w:pPr>
      <w:snapToGrid w:val="0"/>
      <w:spacing w:line="30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FFFFFF"/>
    </w:tcPr>
    <w:tblStylePr w:type="firstRow">
      <w:rPr>
        <w:rFonts w:cs="Wingdings"/>
      </w:rPr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Wingdings"/>
      </w:rPr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35">
    <w:name w:val="Strong"/>
    <w:qFormat/>
    <w:uiPriority w:val="99"/>
    <w:rPr>
      <w:rFonts w:cs="Times New Roman"/>
      <w:b/>
    </w:rPr>
  </w:style>
  <w:style w:type="character" w:styleId="36">
    <w:name w:val="page number"/>
    <w:qFormat/>
    <w:uiPriority w:val="99"/>
    <w:rPr>
      <w:rFonts w:cs="Times New Roman"/>
    </w:rPr>
  </w:style>
  <w:style w:type="character" w:styleId="37">
    <w:name w:val="FollowedHyperlink"/>
    <w:unhideWhenUsed/>
    <w:qFormat/>
    <w:locked/>
    <w:uiPriority w:val="0"/>
    <w:rPr>
      <w:color w:val="000000"/>
      <w:u w:val="none"/>
    </w:rPr>
  </w:style>
  <w:style w:type="character" w:styleId="38">
    <w:name w:val="Emphasis"/>
    <w:qFormat/>
    <w:uiPriority w:val="99"/>
    <w:rPr>
      <w:rFonts w:ascii="Calibri" w:hAnsi="Calibri" w:cs="Times New Roman"/>
      <w:b/>
      <w:i/>
    </w:rPr>
  </w:style>
  <w:style w:type="character" w:styleId="39">
    <w:name w:val="HTML Definition"/>
    <w:basedOn w:val="34"/>
    <w:unhideWhenUsed/>
    <w:qFormat/>
    <w:locked/>
    <w:uiPriority w:val="0"/>
  </w:style>
  <w:style w:type="character" w:styleId="40">
    <w:name w:val="HTML Variable"/>
    <w:basedOn w:val="34"/>
    <w:unhideWhenUsed/>
    <w:qFormat/>
    <w:locked/>
    <w:uiPriority w:val="0"/>
  </w:style>
  <w:style w:type="character" w:styleId="41">
    <w:name w:val="Hyperlink"/>
    <w:qFormat/>
    <w:uiPriority w:val="99"/>
    <w:rPr>
      <w:rFonts w:cs="Times New Roman"/>
      <w:color w:val="0000FF"/>
      <w:u w:val="single"/>
    </w:rPr>
  </w:style>
  <w:style w:type="character" w:styleId="42">
    <w:name w:val="HTML Code"/>
    <w:unhideWhenUsed/>
    <w:qFormat/>
    <w:locked/>
    <w:uiPriority w:val="0"/>
    <w:rPr>
      <w:rFonts w:ascii="Courier New" w:hAnsi="Courier New"/>
      <w:sz w:val="20"/>
    </w:rPr>
  </w:style>
  <w:style w:type="character" w:styleId="43">
    <w:name w:val="annotation reference"/>
    <w:qFormat/>
    <w:uiPriority w:val="99"/>
    <w:rPr>
      <w:rFonts w:cs="Times New Roman"/>
      <w:sz w:val="21"/>
    </w:rPr>
  </w:style>
  <w:style w:type="character" w:styleId="44">
    <w:name w:val="HTML Cite"/>
    <w:basedOn w:val="34"/>
    <w:unhideWhenUsed/>
    <w:qFormat/>
    <w:locked/>
    <w:uiPriority w:val="0"/>
  </w:style>
  <w:style w:type="character" w:styleId="45">
    <w:name w:val="footnote reference"/>
    <w:qFormat/>
    <w:uiPriority w:val="99"/>
    <w:rPr>
      <w:rFonts w:cs="Times New Roman"/>
      <w:vertAlign w:val="superscript"/>
    </w:rPr>
  </w:style>
  <w:style w:type="character" w:customStyle="1" w:styleId="46">
    <w:name w:val="摘要题目 Char"/>
    <w:link w:val="47"/>
    <w:qFormat/>
    <w:locked/>
    <w:uiPriority w:val="99"/>
    <w:rPr>
      <w:rFonts w:ascii="Times New Roman" w:hAnsi="Times New Roman" w:eastAsia="黑体"/>
      <w:kern w:val="32"/>
      <w:sz w:val="30"/>
    </w:rPr>
  </w:style>
  <w:style w:type="paragraph" w:customStyle="1" w:styleId="47">
    <w:name w:val="摘要题目"/>
    <w:basedOn w:val="48"/>
    <w:link w:val="46"/>
    <w:qFormat/>
    <w:uiPriority w:val="99"/>
    <w:pPr>
      <w:spacing w:after="240"/>
    </w:pPr>
    <w:rPr>
      <w:rFonts w:ascii="Times New Roman" w:hAnsi="Times New Roman"/>
      <w:b w:val="0"/>
      <w:bCs/>
    </w:rPr>
  </w:style>
  <w:style w:type="paragraph" w:customStyle="1" w:styleId="48">
    <w:name w:val="英文摘要"/>
    <w:basedOn w:val="2"/>
    <w:link w:val="127"/>
    <w:qFormat/>
    <w:uiPriority w:val="99"/>
    <w:pPr>
      <w:jc w:val="center"/>
    </w:pPr>
    <w:rPr>
      <w:rFonts w:ascii="Cambria" w:hAnsi="Cambria" w:cs="Times New Roman"/>
      <w:b/>
      <w:bCs w:val="0"/>
      <w:szCs w:val="20"/>
    </w:rPr>
  </w:style>
  <w:style w:type="character" w:customStyle="1" w:styleId="49">
    <w:name w:val="标题 字符"/>
    <w:link w:val="29"/>
    <w:qFormat/>
    <w:locked/>
    <w:uiPriority w:val="99"/>
    <w:rPr>
      <w:rFonts w:ascii="Cambria" w:hAnsi="Cambria" w:eastAsia="宋体" w:cs="Times New Roman"/>
      <w:b/>
      <w:kern w:val="28"/>
      <w:sz w:val="32"/>
    </w:rPr>
  </w:style>
  <w:style w:type="character" w:customStyle="1" w:styleId="50">
    <w:name w:val="论文英文题目 Char"/>
    <w:link w:val="51"/>
    <w:qFormat/>
    <w:locked/>
    <w:uiPriority w:val="99"/>
    <w:rPr>
      <w:b/>
      <w:sz w:val="32"/>
      <w:lang w:val="en-US" w:eastAsia="en-US"/>
    </w:rPr>
  </w:style>
  <w:style w:type="paragraph" w:customStyle="1" w:styleId="51">
    <w:name w:val="论文英文题目"/>
    <w:basedOn w:val="1"/>
    <w:link w:val="50"/>
    <w:qFormat/>
    <w:uiPriority w:val="99"/>
    <w:pPr>
      <w:ind w:firstLine="0" w:firstLineChars="0"/>
      <w:jc w:val="center"/>
    </w:pPr>
    <w:rPr>
      <w:rFonts w:ascii="Calibri" w:hAnsi="Calibri"/>
      <w:b/>
      <w:sz w:val="32"/>
    </w:rPr>
  </w:style>
  <w:style w:type="character" w:customStyle="1" w:styleId="52">
    <w:name w:val="关键词题头 Char"/>
    <w:link w:val="53"/>
    <w:qFormat/>
    <w:locked/>
    <w:uiPriority w:val="99"/>
    <w:rPr>
      <w:rFonts w:ascii="黑体" w:eastAsia="黑体"/>
      <w:sz w:val="24"/>
    </w:rPr>
  </w:style>
  <w:style w:type="paragraph" w:customStyle="1" w:styleId="53">
    <w:name w:val="关键词题头"/>
    <w:basedOn w:val="1"/>
    <w:link w:val="52"/>
    <w:qFormat/>
    <w:uiPriority w:val="99"/>
    <w:rPr>
      <w:rFonts w:ascii="黑体" w:hAnsi="Calibri" w:eastAsia="黑体"/>
      <w:lang w:eastAsia="zh-CN"/>
    </w:rPr>
  </w:style>
  <w:style w:type="character" w:customStyle="1" w:styleId="54">
    <w:name w:val="图名英文 Char"/>
    <w:link w:val="55"/>
    <w:qFormat/>
    <w:locked/>
    <w:uiPriority w:val="99"/>
    <w:rPr>
      <w:rFonts w:ascii="Times New Roman" w:hAnsi="Times New Roman"/>
      <w:sz w:val="24"/>
    </w:rPr>
  </w:style>
  <w:style w:type="paragraph" w:customStyle="1" w:styleId="55">
    <w:name w:val="图名英文"/>
    <w:basedOn w:val="1"/>
    <w:link w:val="54"/>
    <w:qFormat/>
    <w:uiPriority w:val="99"/>
    <w:pPr>
      <w:ind w:firstLine="0" w:firstLineChars="0"/>
      <w:jc w:val="center"/>
    </w:pPr>
    <w:rPr>
      <w:lang w:eastAsia="zh-CN"/>
    </w:rPr>
  </w:style>
  <w:style w:type="character" w:customStyle="1" w:styleId="56">
    <w:name w:val="明显引用字符"/>
    <w:link w:val="57"/>
    <w:qFormat/>
    <w:locked/>
    <w:uiPriority w:val="99"/>
    <w:rPr>
      <w:b/>
      <w:i/>
      <w:sz w:val="24"/>
    </w:rPr>
  </w:style>
  <w:style w:type="paragraph" w:customStyle="1" w:styleId="57">
    <w:name w:val="Intense Quote1"/>
    <w:basedOn w:val="1"/>
    <w:next w:val="1"/>
    <w:link w:val="56"/>
    <w:qFormat/>
    <w:uiPriority w:val="99"/>
    <w:pPr>
      <w:ind w:left="720" w:right="720"/>
    </w:pPr>
    <w:rPr>
      <w:rFonts w:ascii="Calibri" w:hAnsi="Calibri"/>
      <w:b/>
      <w:i/>
      <w:lang w:eastAsia="zh-CN"/>
    </w:rPr>
  </w:style>
  <w:style w:type="character" w:customStyle="1" w:styleId="58">
    <w:name w:val="批注框文本 字符"/>
    <w:link w:val="19"/>
    <w:semiHidden/>
    <w:qFormat/>
    <w:locked/>
    <w:uiPriority w:val="99"/>
    <w:rPr>
      <w:rFonts w:ascii="Times New Roman" w:hAnsi="Times New Roman" w:cs="Times New Roman"/>
      <w:kern w:val="0"/>
      <w:sz w:val="2"/>
      <w:lang w:eastAsia="en-US"/>
    </w:rPr>
  </w:style>
  <w:style w:type="character" w:customStyle="1" w:styleId="59">
    <w:name w:val="标题 6 字符"/>
    <w:link w:val="7"/>
    <w:semiHidden/>
    <w:qFormat/>
    <w:locked/>
    <w:uiPriority w:val="99"/>
    <w:rPr>
      <w:rFonts w:cs="Times New Roman"/>
      <w:b/>
    </w:rPr>
  </w:style>
  <w:style w:type="character" w:customStyle="1" w:styleId="60">
    <w:name w:val="Book Title1"/>
    <w:qFormat/>
    <w:uiPriority w:val="99"/>
    <w:rPr>
      <w:rFonts w:ascii="Cambria" w:hAnsi="Cambria" w:eastAsia="宋体"/>
      <w:b/>
      <w:i/>
      <w:sz w:val="24"/>
    </w:rPr>
  </w:style>
  <w:style w:type="character" w:customStyle="1" w:styleId="61">
    <w:name w:val="批注文字 字符"/>
    <w:link w:val="15"/>
    <w:qFormat/>
    <w:locked/>
    <w:uiPriority w:val="99"/>
    <w:rPr>
      <w:rFonts w:ascii="Times New Roman" w:hAnsi="Times New Roman" w:cs="Times New Roman"/>
      <w:sz w:val="24"/>
      <w:lang w:eastAsia="en-US"/>
    </w:rPr>
  </w:style>
  <w:style w:type="character" w:customStyle="1" w:styleId="62">
    <w:name w:val="图名中文 Char"/>
    <w:link w:val="63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63">
    <w:name w:val="图名中文"/>
    <w:basedOn w:val="1"/>
    <w:link w:val="62"/>
    <w:qFormat/>
    <w:uiPriority w:val="99"/>
    <w:pPr>
      <w:ind w:firstLine="0" w:firstLineChars="0"/>
      <w:jc w:val="center"/>
    </w:pPr>
    <w:rPr>
      <w:lang w:eastAsia="zh-CN"/>
    </w:rPr>
  </w:style>
  <w:style w:type="character" w:customStyle="1" w:styleId="64">
    <w:name w:val="页脚 字符"/>
    <w:link w:val="20"/>
    <w:semiHidden/>
    <w:qFormat/>
    <w:locked/>
    <w:uiPriority w:val="99"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65">
    <w:name w:val="英文关键词 Char"/>
    <w:link w:val="66"/>
    <w:qFormat/>
    <w:locked/>
    <w:uiPriority w:val="99"/>
    <w:rPr>
      <w:rFonts w:ascii="Calibri" w:hAnsi="Calibri" w:eastAsia="宋体"/>
      <w:sz w:val="24"/>
      <w:lang w:eastAsia="en-US"/>
    </w:rPr>
  </w:style>
  <w:style w:type="paragraph" w:customStyle="1" w:styleId="66">
    <w:name w:val="英文关键词"/>
    <w:basedOn w:val="1"/>
    <w:link w:val="65"/>
    <w:qFormat/>
    <w:uiPriority w:val="99"/>
    <w:rPr>
      <w:rFonts w:ascii="Calibri" w:hAnsi="Calibri"/>
    </w:rPr>
  </w:style>
  <w:style w:type="character" w:customStyle="1" w:styleId="67">
    <w:name w:val="页眉 字符"/>
    <w:link w:val="21"/>
    <w:semiHidden/>
    <w:qFormat/>
    <w:locked/>
    <w:uiPriority w:val="99"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68">
    <w:name w:val="标题 2 字符"/>
    <w:link w:val="3"/>
    <w:qFormat/>
    <w:locked/>
    <w:uiPriority w:val="99"/>
    <w:rPr>
      <w:rFonts w:ascii="Times New Roman" w:hAnsi="Times New Roman" w:eastAsia="黑体" w:cs="Times New Roman"/>
      <w:sz w:val="28"/>
    </w:rPr>
  </w:style>
  <w:style w:type="character" w:customStyle="1" w:styleId="69">
    <w:name w:val="授权说明正文 Char"/>
    <w:link w:val="70"/>
    <w:qFormat/>
    <w:locked/>
    <w:uiPriority w:val="99"/>
    <w:rPr>
      <w:rFonts w:ascii="Times New Roman" w:hAnsi="Times New Roman" w:eastAsia="黑体"/>
      <w:kern w:val="32"/>
      <w:sz w:val="36"/>
    </w:rPr>
  </w:style>
  <w:style w:type="paragraph" w:customStyle="1" w:styleId="70">
    <w:name w:val="授权说明正文"/>
    <w:basedOn w:val="71"/>
    <w:link w:val="69"/>
    <w:qFormat/>
    <w:uiPriority w:val="99"/>
    <w:rPr>
      <w:rFonts w:cs="Times New Roman"/>
      <w:bCs w:val="0"/>
      <w:sz w:val="36"/>
      <w:szCs w:val="20"/>
    </w:rPr>
  </w:style>
  <w:style w:type="paragraph" w:customStyle="1" w:styleId="71">
    <w:name w:val="授权书"/>
    <w:basedOn w:val="2"/>
    <w:qFormat/>
    <w:uiPriority w:val="99"/>
    <w:pPr>
      <w:spacing w:beforeLines="300" w:after="240"/>
      <w:jc w:val="center"/>
    </w:pPr>
    <w:rPr>
      <w:sz w:val="44"/>
      <w:szCs w:val="44"/>
    </w:rPr>
  </w:style>
  <w:style w:type="character" w:customStyle="1" w:styleId="72">
    <w:name w:val="首页居中 Char"/>
    <w:link w:val="73"/>
    <w:qFormat/>
    <w:locked/>
    <w:uiPriority w:val="99"/>
    <w:rPr>
      <w:sz w:val="30"/>
    </w:rPr>
  </w:style>
  <w:style w:type="paragraph" w:customStyle="1" w:styleId="73">
    <w:name w:val="首页居中"/>
    <w:basedOn w:val="1"/>
    <w:link w:val="72"/>
    <w:qFormat/>
    <w:uiPriority w:val="99"/>
    <w:pPr>
      <w:spacing w:line="360" w:lineRule="auto"/>
      <w:ind w:firstLine="1977" w:firstLineChars="659"/>
    </w:pPr>
    <w:rPr>
      <w:rFonts w:ascii="Calibri" w:hAnsi="Calibri"/>
      <w:sz w:val="30"/>
      <w:lang w:eastAsia="zh-CN"/>
    </w:rPr>
  </w:style>
  <w:style w:type="character" w:customStyle="1" w:styleId="74">
    <w:name w:val="文档结构图 字符"/>
    <w:link w:val="13"/>
    <w:semiHidden/>
    <w:qFormat/>
    <w:locked/>
    <w:uiPriority w:val="99"/>
    <w:rPr>
      <w:rFonts w:ascii="Times New Roman" w:hAnsi="Times New Roman" w:cs="Times New Roman"/>
      <w:kern w:val="0"/>
      <w:sz w:val="2"/>
      <w:lang w:eastAsia="en-US"/>
    </w:rPr>
  </w:style>
  <w:style w:type="character" w:customStyle="1" w:styleId="75">
    <w:name w:val="关键词 Char"/>
    <w:link w:val="76"/>
    <w:qFormat/>
    <w:locked/>
    <w:uiPriority w:val="99"/>
    <w:rPr>
      <w:rFonts w:ascii="仿宋_GB2312" w:eastAsia="仿宋_GB2312"/>
      <w:sz w:val="24"/>
    </w:rPr>
  </w:style>
  <w:style w:type="paragraph" w:customStyle="1" w:styleId="76">
    <w:name w:val="关键词"/>
    <w:basedOn w:val="1"/>
    <w:link w:val="75"/>
    <w:qFormat/>
    <w:uiPriority w:val="99"/>
    <w:rPr>
      <w:rFonts w:ascii="仿宋_GB2312" w:hAnsi="Calibri" w:eastAsia="仿宋_GB2312"/>
      <w:lang w:eastAsia="zh-CN"/>
    </w:rPr>
  </w:style>
  <w:style w:type="character" w:customStyle="1" w:styleId="77">
    <w:name w:val="硕士学位论文 Char"/>
    <w:link w:val="78"/>
    <w:qFormat/>
    <w:locked/>
    <w:uiPriority w:val="99"/>
    <w:rPr>
      <w:rFonts w:ascii="华文细黑" w:hAnsi="华文细黑" w:eastAsia="宋体"/>
      <w:b/>
      <w:sz w:val="48"/>
      <w:lang w:val="en-US" w:eastAsia="zh-CN"/>
    </w:rPr>
  </w:style>
  <w:style w:type="paragraph" w:customStyle="1" w:styleId="78">
    <w:name w:val="硕士学位论文"/>
    <w:basedOn w:val="1"/>
    <w:link w:val="77"/>
    <w:qFormat/>
    <w:uiPriority w:val="99"/>
    <w:pPr>
      <w:ind w:firstLine="0" w:firstLineChars="0"/>
      <w:jc w:val="center"/>
    </w:pPr>
    <w:rPr>
      <w:rFonts w:ascii="华文细黑" w:hAnsi="华文细黑"/>
      <w:b/>
      <w:sz w:val="48"/>
      <w:lang w:eastAsia="zh-CN"/>
    </w:rPr>
  </w:style>
  <w:style w:type="character" w:customStyle="1" w:styleId="79">
    <w:name w:val="Subtle Emphasis1"/>
    <w:qFormat/>
    <w:uiPriority w:val="99"/>
    <w:rPr>
      <w:i/>
      <w:color w:val="5A5A5A"/>
    </w:rPr>
  </w:style>
  <w:style w:type="character" w:customStyle="1" w:styleId="80">
    <w:name w:val="正文1 Char"/>
    <w:link w:val="81"/>
    <w:qFormat/>
    <w:locked/>
    <w:uiPriority w:val="99"/>
    <w:rPr>
      <w:rFonts w:ascii="Times New Roman" w:hAnsi="Times New Roman"/>
      <w:sz w:val="24"/>
      <w:lang w:eastAsia="en-US"/>
    </w:rPr>
  </w:style>
  <w:style w:type="paragraph" w:customStyle="1" w:styleId="81">
    <w:name w:val="正文1"/>
    <w:basedOn w:val="1"/>
    <w:link w:val="80"/>
    <w:qFormat/>
    <w:uiPriority w:val="99"/>
  </w:style>
  <w:style w:type="character" w:customStyle="1" w:styleId="82">
    <w:name w:val="附录 Char"/>
    <w:link w:val="83"/>
    <w:qFormat/>
    <w:locked/>
    <w:uiPriority w:val="99"/>
    <w:rPr>
      <w:rFonts w:ascii="Cambria" w:hAnsi="Cambria" w:eastAsia="黑体" w:cs="宋体"/>
      <w:b/>
      <w:bCs/>
      <w:kern w:val="32"/>
      <w:sz w:val="32"/>
      <w:szCs w:val="32"/>
    </w:rPr>
  </w:style>
  <w:style w:type="paragraph" w:customStyle="1" w:styleId="83">
    <w:name w:val="附录"/>
    <w:basedOn w:val="48"/>
    <w:link w:val="82"/>
    <w:qFormat/>
    <w:uiPriority w:val="99"/>
  </w:style>
  <w:style w:type="character" w:customStyle="1" w:styleId="84">
    <w:name w:val="副标题 字符"/>
    <w:link w:val="23"/>
    <w:qFormat/>
    <w:locked/>
    <w:uiPriority w:val="99"/>
    <w:rPr>
      <w:rFonts w:ascii="Cambria" w:hAnsi="Cambria" w:eastAsia="宋体" w:cs="Times New Roman"/>
      <w:sz w:val="24"/>
    </w:rPr>
  </w:style>
  <w:style w:type="character" w:customStyle="1" w:styleId="85">
    <w:name w:val="标题 4 字符"/>
    <w:link w:val="5"/>
    <w:qFormat/>
    <w:locked/>
    <w:uiPriority w:val="99"/>
    <w:rPr>
      <w:rFonts w:cs="Times New Roman"/>
      <w:b/>
      <w:sz w:val="28"/>
    </w:rPr>
  </w:style>
  <w:style w:type="character" w:customStyle="1" w:styleId="86">
    <w:name w:val="标题 1 字符"/>
    <w:link w:val="2"/>
    <w:qFormat/>
    <w:locked/>
    <w:uiPriority w:val="99"/>
    <w:rPr>
      <w:rFonts w:ascii="Times New Roman" w:hAnsi="Times New Roman" w:eastAsia="黑体" w:cs="Times New Roman"/>
      <w:kern w:val="32"/>
      <w:sz w:val="32"/>
    </w:rPr>
  </w:style>
  <w:style w:type="character" w:customStyle="1" w:styleId="87">
    <w:name w:val="标题 8 字符"/>
    <w:link w:val="9"/>
    <w:semiHidden/>
    <w:qFormat/>
    <w:locked/>
    <w:uiPriority w:val="99"/>
    <w:rPr>
      <w:rFonts w:cs="Times New Roman"/>
      <w:i/>
      <w:sz w:val="24"/>
    </w:rPr>
  </w:style>
  <w:style w:type="character" w:customStyle="1" w:styleId="88">
    <w:name w:val="英文摘要正文 Char"/>
    <w:link w:val="89"/>
    <w:qFormat/>
    <w:locked/>
    <w:uiPriority w:val="99"/>
    <w:rPr>
      <w:rFonts w:ascii="Times New Roman" w:hAnsi="Times New Roman" w:cs="Times New Roman"/>
      <w:sz w:val="24"/>
      <w:lang w:eastAsia="en-US"/>
    </w:rPr>
  </w:style>
  <w:style w:type="paragraph" w:customStyle="1" w:styleId="89">
    <w:name w:val="英文摘要正文"/>
    <w:basedOn w:val="81"/>
    <w:link w:val="88"/>
    <w:qFormat/>
    <w:uiPriority w:val="99"/>
  </w:style>
  <w:style w:type="character" w:customStyle="1" w:styleId="90">
    <w:name w:val="Intense Reference1"/>
    <w:qFormat/>
    <w:uiPriority w:val="99"/>
    <w:rPr>
      <w:b/>
      <w:sz w:val="24"/>
      <w:u w:val="single"/>
    </w:rPr>
  </w:style>
  <w:style w:type="character" w:customStyle="1" w:styleId="91">
    <w:name w:val="标题 9 字符"/>
    <w:link w:val="10"/>
    <w:semiHidden/>
    <w:qFormat/>
    <w:locked/>
    <w:uiPriority w:val="99"/>
    <w:rPr>
      <w:rFonts w:ascii="Cambria" w:hAnsi="Cambria" w:eastAsia="宋体" w:cs="Times New Roman"/>
    </w:rPr>
  </w:style>
  <w:style w:type="character" w:customStyle="1" w:styleId="92">
    <w:name w:val="标题1居中 Char"/>
    <w:link w:val="93"/>
    <w:qFormat/>
    <w:locked/>
    <w:uiPriority w:val="99"/>
    <w:rPr>
      <w:rFonts w:ascii="Cambria" w:hAnsi="Cambria" w:eastAsia="黑体"/>
      <w:kern w:val="32"/>
      <w:sz w:val="32"/>
    </w:rPr>
  </w:style>
  <w:style w:type="paragraph" w:customStyle="1" w:styleId="93">
    <w:name w:val="标题1居中"/>
    <w:basedOn w:val="94"/>
    <w:link w:val="92"/>
    <w:qFormat/>
    <w:uiPriority w:val="99"/>
    <w:rPr>
      <w:rFonts w:ascii="Cambria" w:hAnsi="Cambria" w:cs="Times New Roman"/>
      <w:sz w:val="32"/>
    </w:rPr>
  </w:style>
  <w:style w:type="paragraph" w:customStyle="1" w:styleId="94">
    <w:name w:val="引言"/>
    <w:basedOn w:val="2"/>
    <w:qFormat/>
    <w:uiPriority w:val="99"/>
    <w:pPr>
      <w:spacing w:after="240"/>
    </w:pPr>
    <w:rPr>
      <w:rFonts w:cs="宋体"/>
      <w:bCs w:val="0"/>
      <w:sz w:val="30"/>
      <w:szCs w:val="20"/>
    </w:rPr>
  </w:style>
  <w:style w:type="character" w:customStyle="1" w:styleId="95">
    <w:name w:val="标题 3 字符"/>
    <w:link w:val="4"/>
    <w:qFormat/>
    <w:locked/>
    <w:uiPriority w:val="99"/>
    <w:rPr>
      <w:rFonts w:ascii="Times New Roman" w:hAnsi="Times New Roman" w:eastAsia="黑体" w:cs="Times New Roman"/>
      <w:sz w:val="24"/>
    </w:rPr>
  </w:style>
  <w:style w:type="character" w:customStyle="1" w:styleId="96">
    <w:name w:val="apple-converted-space"/>
    <w:qFormat/>
    <w:uiPriority w:val="99"/>
    <w:rPr>
      <w:rFonts w:cs="Times New Roman"/>
    </w:rPr>
  </w:style>
  <w:style w:type="character" w:customStyle="1" w:styleId="97">
    <w:name w:val="ABSTRACT Char"/>
    <w:link w:val="98"/>
    <w:qFormat/>
    <w:locked/>
    <w:uiPriority w:val="99"/>
    <w:rPr>
      <w:rFonts w:ascii="Times New Roman" w:hAnsi="Times New Roman" w:eastAsia="黑体"/>
      <w:b/>
      <w:kern w:val="32"/>
      <w:sz w:val="30"/>
    </w:rPr>
  </w:style>
  <w:style w:type="paragraph" w:customStyle="1" w:styleId="98">
    <w:name w:val="ABSTRACT"/>
    <w:basedOn w:val="47"/>
    <w:link w:val="97"/>
    <w:qFormat/>
    <w:uiPriority w:val="99"/>
    <w:rPr>
      <w:b/>
    </w:rPr>
  </w:style>
  <w:style w:type="character" w:customStyle="1" w:styleId="99">
    <w:name w:val="脚注文本 字符"/>
    <w:link w:val="24"/>
    <w:semiHidden/>
    <w:qFormat/>
    <w:locked/>
    <w:uiPriority w:val="99"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100">
    <w:name w:val="首页页脚英文 Char"/>
    <w:link w:val="101"/>
    <w:qFormat/>
    <w:locked/>
    <w:uiPriority w:val="99"/>
    <w:rPr>
      <w:rFonts w:ascii="Times New Roman" w:hAnsi="Times New Roman"/>
      <w:sz w:val="24"/>
    </w:rPr>
  </w:style>
  <w:style w:type="paragraph" w:customStyle="1" w:styleId="101">
    <w:name w:val="首页页脚英文"/>
    <w:basedOn w:val="1"/>
    <w:link w:val="100"/>
    <w:qFormat/>
    <w:uiPriority w:val="99"/>
    <w:pPr>
      <w:ind w:firstLine="0" w:firstLineChars="0"/>
      <w:jc w:val="center"/>
    </w:pPr>
    <w:rPr>
      <w:lang w:eastAsia="zh-CN"/>
    </w:rPr>
  </w:style>
  <w:style w:type="character" w:customStyle="1" w:styleId="102">
    <w:name w:val="批注主题 字符"/>
    <w:link w:val="30"/>
    <w:qFormat/>
    <w:locked/>
    <w:uiPriority w:val="99"/>
    <w:rPr>
      <w:rFonts w:ascii="Times New Roman" w:hAnsi="Times New Roman" w:cs="Times New Roman"/>
      <w:b/>
      <w:sz w:val="24"/>
      <w:lang w:eastAsia="en-US"/>
    </w:rPr>
  </w:style>
  <w:style w:type="character" w:customStyle="1" w:styleId="103">
    <w:name w:val="参考文献正文 Char"/>
    <w:link w:val="104"/>
    <w:qFormat/>
    <w:locked/>
    <w:uiPriority w:val="99"/>
    <w:rPr>
      <w:rFonts w:ascii="Times New Roman" w:hAnsi="Times New Roman"/>
      <w:sz w:val="21"/>
    </w:rPr>
  </w:style>
  <w:style w:type="paragraph" w:customStyle="1" w:styleId="104">
    <w:name w:val="参考文献正文"/>
    <w:basedOn w:val="1"/>
    <w:link w:val="103"/>
    <w:qFormat/>
    <w:uiPriority w:val="99"/>
    <w:rPr>
      <w:sz w:val="21"/>
      <w:lang w:eastAsia="zh-CN"/>
    </w:rPr>
  </w:style>
  <w:style w:type="character" w:customStyle="1" w:styleId="105">
    <w:name w:val="highlight"/>
    <w:qFormat/>
    <w:uiPriority w:val="99"/>
    <w:rPr>
      <w:rFonts w:cs="Times New Roman"/>
    </w:rPr>
  </w:style>
  <w:style w:type="character" w:customStyle="1" w:styleId="106">
    <w:name w:val="正文文本缩进 字符"/>
    <w:link w:val="17"/>
    <w:qFormat/>
    <w:locked/>
    <w:uiPriority w:val="99"/>
    <w:rPr>
      <w:rFonts w:ascii="Times New Roman" w:hAnsi="Times New Roman" w:cs="Times New Roman"/>
      <w:kern w:val="2"/>
      <w:sz w:val="21"/>
    </w:rPr>
  </w:style>
  <w:style w:type="character" w:customStyle="1" w:styleId="107">
    <w:name w:val="未处理的提及1"/>
    <w:unhideWhenUsed/>
    <w:qFormat/>
    <w:uiPriority w:val="99"/>
    <w:rPr>
      <w:color w:val="605E5C"/>
      <w:shd w:val="clear" w:color="auto" w:fill="E1DFDD"/>
    </w:rPr>
  </w:style>
  <w:style w:type="character" w:customStyle="1" w:styleId="108">
    <w:name w:val="Abstract Char"/>
    <w:link w:val="109"/>
    <w:qFormat/>
    <w:locked/>
    <w:uiPriority w:val="99"/>
    <w:rPr>
      <w:rFonts w:ascii="Times New Roman" w:hAnsi="Times New Roman"/>
      <w:b/>
      <w:sz w:val="32"/>
      <w:lang w:val="en-US" w:eastAsia="en-US"/>
    </w:rPr>
  </w:style>
  <w:style w:type="paragraph" w:customStyle="1" w:styleId="109">
    <w:name w:val="Abstract"/>
    <w:basedOn w:val="51"/>
    <w:next w:val="1"/>
    <w:link w:val="108"/>
    <w:qFormat/>
    <w:uiPriority w:val="99"/>
    <w:rPr>
      <w:rFonts w:ascii="Times New Roman" w:hAnsi="Times New Roman"/>
    </w:rPr>
  </w:style>
  <w:style w:type="character" w:customStyle="1" w:styleId="110">
    <w:name w:val="参考文献标题 Char"/>
    <w:link w:val="111"/>
    <w:qFormat/>
    <w:locked/>
    <w:uiPriority w:val="99"/>
    <w:rPr>
      <w:rFonts w:ascii="Times New Roman" w:hAnsi="Times New Roman" w:eastAsia="黑体" w:cs="Times New Roman"/>
      <w:bCs/>
      <w:kern w:val="32"/>
      <w:sz w:val="32"/>
      <w:szCs w:val="32"/>
    </w:rPr>
  </w:style>
  <w:style w:type="paragraph" w:customStyle="1" w:styleId="111">
    <w:name w:val="参考文献标题"/>
    <w:basedOn w:val="2"/>
    <w:link w:val="110"/>
    <w:qFormat/>
    <w:uiPriority w:val="99"/>
    <w:pPr>
      <w:jc w:val="center"/>
    </w:pPr>
  </w:style>
  <w:style w:type="character" w:customStyle="1" w:styleId="112">
    <w:name w:val="标题 7 字符"/>
    <w:link w:val="8"/>
    <w:semiHidden/>
    <w:qFormat/>
    <w:locked/>
    <w:uiPriority w:val="99"/>
    <w:rPr>
      <w:rFonts w:cs="Times New Roman"/>
      <w:sz w:val="24"/>
    </w:rPr>
  </w:style>
  <w:style w:type="character" w:customStyle="1" w:styleId="113">
    <w:name w:val="首页页脚中文 Char"/>
    <w:link w:val="114"/>
    <w:qFormat/>
    <w:locked/>
    <w:uiPriority w:val="99"/>
    <w:rPr>
      <w:rFonts w:ascii="华文行楷" w:hAnsi="Times New Roman" w:eastAsia="华文行楷"/>
      <w:sz w:val="36"/>
    </w:rPr>
  </w:style>
  <w:style w:type="paragraph" w:customStyle="1" w:styleId="114">
    <w:name w:val="首页页脚中文"/>
    <w:basedOn w:val="1"/>
    <w:link w:val="113"/>
    <w:qFormat/>
    <w:uiPriority w:val="99"/>
    <w:pPr>
      <w:ind w:firstLine="0" w:firstLineChars="0"/>
      <w:jc w:val="center"/>
    </w:pPr>
    <w:rPr>
      <w:rFonts w:ascii="华文行楷" w:eastAsia="华文行楷"/>
      <w:sz w:val="36"/>
      <w:lang w:eastAsia="zh-CN"/>
    </w:rPr>
  </w:style>
  <w:style w:type="character" w:customStyle="1" w:styleId="115">
    <w:name w:val="独创声明正文 Char"/>
    <w:link w:val="116"/>
    <w:qFormat/>
    <w:locked/>
    <w:uiPriority w:val="99"/>
    <w:rPr>
      <w:rFonts w:ascii="黑体" w:hAnsi="黑体" w:eastAsia="黑体"/>
      <w:sz w:val="36"/>
    </w:rPr>
  </w:style>
  <w:style w:type="paragraph" w:customStyle="1" w:styleId="116">
    <w:name w:val="独创声明正文"/>
    <w:basedOn w:val="117"/>
    <w:link w:val="115"/>
    <w:qFormat/>
    <w:uiPriority w:val="99"/>
  </w:style>
  <w:style w:type="paragraph" w:customStyle="1" w:styleId="117">
    <w:name w:val="独创声明"/>
    <w:basedOn w:val="1"/>
    <w:link w:val="126"/>
    <w:qFormat/>
    <w:uiPriority w:val="0"/>
    <w:pPr>
      <w:ind w:firstLine="0" w:firstLineChars="0"/>
      <w:jc w:val="center"/>
    </w:pPr>
    <w:rPr>
      <w:rFonts w:ascii="黑体" w:hAnsi="黑体" w:eastAsia="黑体"/>
      <w:sz w:val="36"/>
      <w:lang w:eastAsia="zh-CN"/>
    </w:rPr>
  </w:style>
  <w:style w:type="character" w:customStyle="1" w:styleId="118">
    <w:name w:val="Keywords Char"/>
    <w:link w:val="119"/>
    <w:qFormat/>
    <w:locked/>
    <w:uiPriority w:val="99"/>
    <w:rPr>
      <w:rFonts w:eastAsia="宋体"/>
      <w:b/>
      <w:sz w:val="24"/>
      <w:lang w:eastAsia="en-US"/>
    </w:rPr>
  </w:style>
  <w:style w:type="paragraph" w:customStyle="1" w:styleId="119">
    <w:name w:val="Keywords"/>
    <w:basedOn w:val="1"/>
    <w:link w:val="118"/>
    <w:qFormat/>
    <w:uiPriority w:val="99"/>
    <w:rPr>
      <w:rFonts w:ascii="Calibri" w:hAnsi="Calibri"/>
      <w:b/>
    </w:rPr>
  </w:style>
  <w:style w:type="character" w:customStyle="1" w:styleId="120">
    <w:name w:val="正文文本 字符"/>
    <w:link w:val="16"/>
    <w:qFormat/>
    <w:locked/>
    <w:uiPriority w:val="99"/>
    <w:rPr>
      <w:rFonts w:ascii="Times New Roman" w:hAnsi="Times New Roman" w:cs="Times New Roman"/>
      <w:b/>
      <w:kern w:val="2"/>
      <w:sz w:val="44"/>
    </w:rPr>
  </w:style>
  <w:style w:type="character" w:customStyle="1" w:styleId="121">
    <w:name w:val="标题 2 Char"/>
    <w:qFormat/>
    <w:uiPriority w:val="99"/>
    <w:rPr>
      <w:rFonts w:ascii="Times New Roman" w:hAnsi="Times New Roman" w:eastAsia="黑体"/>
      <w:sz w:val="28"/>
    </w:rPr>
  </w:style>
  <w:style w:type="character" w:customStyle="1" w:styleId="122">
    <w:name w:val="Intense Emphasis1"/>
    <w:qFormat/>
    <w:uiPriority w:val="99"/>
    <w:rPr>
      <w:b/>
      <w:i/>
      <w:sz w:val="24"/>
      <w:u w:val="single"/>
    </w:rPr>
  </w:style>
  <w:style w:type="character" w:customStyle="1" w:styleId="123">
    <w:name w:val="标题 5 字符"/>
    <w:link w:val="6"/>
    <w:semiHidden/>
    <w:qFormat/>
    <w:locked/>
    <w:uiPriority w:val="99"/>
    <w:rPr>
      <w:rFonts w:cs="Times New Roman"/>
      <w:b/>
      <w:i/>
      <w:sz w:val="26"/>
    </w:rPr>
  </w:style>
  <w:style w:type="character" w:customStyle="1" w:styleId="124">
    <w:name w:val="论文题目 Char"/>
    <w:link w:val="125"/>
    <w:qFormat/>
    <w:locked/>
    <w:uiPriority w:val="99"/>
    <w:rPr>
      <w:rFonts w:ascii="华文细黑" w:eastAsia="华文细黑"/>
      <w:b/>
      <w:sz w:val="44"/>
    </w:rPr>
  </w:style>
  <w:style w:type="paragraph" w:customStyle="1" w:styleId="125">
    <w:name w:val="论文题目"/>
    <w:basedOn w:val="1"/>
    <w:link w:val="124"/>
    <w:qFormat/>
    <w:uiPriority w:val="99"/>
    <w:pPr>
      <w:ind w:firstLine="0" w:firstLineChars="0"/>
      <w:jc w:val="center"/>
    </w:pPr>
    <w:rPr>
      <w:rFonts w:ascii="华文细黑" w:eastAsia="华文细黑"/>
      <w:b/>
      <w:sz w:val="44"/>
      <w:lang w:eastAsia="zh-CN"/>
    </w:rPr>
  </w:style>
  <w:style w:type="character" w:customStyle="1" w:styleId="126">
    <w:name w:val="独创声明 Char"/>
    <w:link w:val="117"/>
    <w:qFormat/>
    <w:locked/>
    <w:uiPriority w:val="0"/>
    <w:rPr>
      <w:rFonts w:ascii="黑体" w:hAnsi="黑体" w:eastAsia="黑体"/>
      <w:sz w:val="36"/>
    </w:rPr>
  </w:style>
  <w:style w:type="character" w:customStyle="1" w:styleId="127">
    <w:name w:val="英文摘要 Char"/>
    <w:link w:val="48"/>
    <w:qFormat/>
    <w:locked/>
    <w:uiPriority w:val="99"/>
    <w:rPr>
      <w:rFonts w:ascii="Cambria" w:hAnsi="Cambria" w:eastAsia="黑体"/>
      <w:b/>
      <w:kern w:val="32"/>
      <w:sz w:val="32"/>
    </w:rPr>
  </w:style>
  <w:style w:type="character" w:customStyle="1" w:styleId="128">
    <w:name w:val="目录 Char"/>
    <w:link w:val="129"/>
    <w:qFormat/>
    <w:locked/>
    <w:uiPriority w:val="99"/>
    <w:rPr>
      <w:rFonts w:ascii="Times New Roman" w:hAnsi="Times New Roman" w:eastAsia="黑体"/>
      <w:sz w:val="30"/>
    </w:rPr>
  </w:style>
  <w:style w:type="paragraph" w:customStyle="1" w:styleId="129">
    <w:name w:val="目录"/>
    <w:basedOn w:val="1"/>
    <w:link w:val="128"/>
    <w:qFormat/>
    <w:uiPriority w:val="99"/>
    <w:pPr>
      <w:ind w:firstLine="0" w:firstLineChars="0"/>
      <w:jc w:val="center"/>
    </w:pPr>
    <w:rPr>
      <w:rFonts w:eastAsia="黑体"/>
      <w:sz w:val="30"/>
      <w:lang w:eastAsia="zh-CN"/>
    </w:rPr>
  </w:style>
  <w:style w:type="character" w:customStyle="1" w:styleId="130">
    <w:name w:val="引用字符"/>
    <w:link w:val="131"/>
    <w:qFormat/>
    <w:locked/>
    <w:uiPriority w:val="99"/>
    <w:rPr>
      <w:i/>
      <w:sz w:val="24"/>
    </w:rPr>
  </w:style>
  <w:style w:type="paragraph" w:customStyle="1" w:styleId="131">
    <w:name w:val="Quote1"/>
    <w:basedOn w:val="1"/>
    <w:next w:val="1"/>
    <w:link w:val="130"/>
    <w:qFormat/>
    <w:uiPriority w:val="99"/>
    <w:rPr>
      <w:rFonts w:ascii="Calibri" w:hAnsi="Calibri"/>
      <w:i/>
      <w:lang w:eastAsia="zh-CN"/>
    </w:rPr>
  </w:style>
  <w:style w:type="paragraph" w:customStyle="1" w:styleId="132">
    <w:name w:val="样式 摘要 + 段后: 1 行"/>
    <w:basedOn w:val="133"/>
    <w:qFormat/>
    <w:uiPriority w:val="99"/>
    <w:pPr>
      <w:spacing w:after="240"/>
    </w:pPr>
    <w:rPr>
      <w:sz w:val="30"/>
    </w:rPr>
  </w:style>
  <w:style w:type="paragraph" w:customStyle="1" w:styleId="133">
    <w:name w:val="摘要"/>
    <w:basedOn w:val="2"/>
    <w:qFormat/>
    <w:uiPriority w:val="99"/>
    <w:pPr>
      <w:jc w:val="center"/>
    </w:pPr>
    <w:rPr>
      <w:rFonts w:cs="宋体"/>
      <w:bCs w:val="0"/>
      <w:szCs w:val="20"/>
    </w:rPr>
  </w:style>
  <w:style w:type="paragraph" w:customStyle="1" w:styleId="134">
    <w:name w:val="参考文献"/>
    <w:basedOn w:val="48"/>
    <w:qFormat/>
    <w:uiPriority w:val="99"/>
  </w:style>
  <w:style w:type="paragraph" w:customStyle="1" w:styleId="135">
    <w:name w:val="Revision1"/>
    <w:semiHidden/>
    <w:qFormat/>
    <w:uiPriority w:val="99"/>
    <w:rPr>
      <w:rFonts w:ascii="Times New Roman" w:hAnsi="Times New Roman" w:eastAsia="宋体" w:cs="Times New Roman"/>
      <w:sz w:val="24"/>
      <w:lang w:val="en-US" w:eastAsia="en-US" w:bidi="ar-SA"/>
    </w:rPr>
  </w:style>
  <w:style w:type="paragraph" w:customStyle="1" w:styleId="136">
    <w:name w:val="作者简介"/>
    <w:basedOn w:val="134"/>
    <w:qFormat/>
    <w:uiPriority w:val="99"/>
    <w:pPr>
      <w:tabs>
        <w:tab w:val="left" w:pos="377"/>
      </w:tabs>
      <w:snapToGrid/>
    </w:pPr>
    <w:rPr>
      <w:rFonts w:ascii="黑体" w:hAnsi="Times New Roman"/>
      <w:kern w:val="44"/>
    </w:rPr>
  </w:style>
  <w:style w:type="paragraph" w:customStyle="1" w:styleId="137">
    <w:name w:val="公式"/>
    <w:basedOn w:val="1"/>
    <w:qFormat/>
    <w:uiPriority w:val="99"/>
    <w:pPr>
      <w:spacing w:before="120" w:after="120"/>
      <w:jc w:val="right"/>
    </w:pPr>
    <w:rPr>
      <w:rFonts w:cs="宋体"/>
    </w:rPr>
  </w:style>
  <w:style w:type="paragraph" w:customStyle="1" w:styleId="138">
    <w:name w:val="List Paragraph1"/>
    <w:basedOn w:val="1"/>
    <w:qFormat/>
    <w:uiPriority w:val="99"/>
    <w:pPr>
      <w:ind w:left="720"/>
      <w:contextualSpacing/>
    </w:pPr>
  </w:style>
  <w:style w:type="paragraph" w:customStyle="1" w:styleId="139">
    <w:name w:val="reader-word-layer"/>
    <w:basedOn w:val="1"/>
    <w:qFormat/>
    <w:uiPriority w:val="99"/>
    <w:pPr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szCs w:val="24"/>
      <w:lang w:eastAsia="zh-CN"/>
    </w:rPr>
  </w:style>
  <w:style w:type="paragraph" w:customStyle="1" w:styleId="140">
    <w:name w:val="样式 标题 1 + 段后: 1 行"/>
    <w:basedOn w:val="2"/>
    <w:qFormat/>
    <w:uiPriority w:val="99"/>
    <w:pPr>
      <w:spacing w:after="240"/>
    </w:pPr>
    <w:rPr>
      <w:rFonts w:cs="宋体"/>
      <w:bCs w:val="0"/>
      <w:sz w:val="30"/>
      <w:szCs w:val="20"/>
    </w:rPr>
  </w:style>
  <w:style w:type="paragraph" w:customStyle="1" w:styleId="141">
    <w:name w:val="致谢"/>
    <w:basedOn w:val="48"/>
    <w:qFormat/>
    <w:uiPriority w:val="99"/>
    <w:pPr>
      <w:spacing w:after="240"/>
    </w:pPr>
  </w:style>
  <w:style w:type="paragraph" w:customStyle="1" w:styleId="142">
    <w:name w:val="结论"/>
    <w:basedOn w:val="48"/>
    <w:qFormat/>
    <w:uiPriority w:val="99"/>
  </w:style>
  <w:style w:type="paragraph" w:customStyle="1" w:styleId="143">
    <w:name w:val="TOC Heading1"/>
    <w:basedOn w:val="2"/>
    <w:next w:val="1"/>
    <w:qFormat/>
    <w:uiPriority w:val="99"/>
    <w:pPr>
      <w:outlineLvl w:val="9"/>
    </w:pPr>
  </w:style>
  <w:style w:type="paragraph" w:customStyle="1" w:styleId="144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145">
    <w:name w:val="No Spacing1"/>
    <w:basedOn w:val="1"/>
    <w:qFormat/>
    <w:uiPriority w:val="99"/>
    <w:rPr>
      <w:szCs w:val="32"/>
    </w:rPr>
  </w:style>
  <w:style w:type="paragraph" w:customStyle="1" w:styleId="146">
    <w:name w:val="样式 参考文献标题 + 段后: 1 行"/>
    <w:basedOn w:val="111"/>
    <w:qFormat/>
    <w:uiPriority w:val="99"/>
    <w:pPr>
      <w:spacing w:after="240"/>
    </w:pPr>
    <w:rPr>
      <w:rFonts w:cs="宋体"/>
      <w:bCs w:val="0"/>
      <w:sz w:val="30"/>
      <w:szCs w:val="20"/>
    </w:rPr>
  </w:style>
  <w:style w:type="paragraph" w:customStyle="1" w:styleId="147">
    <w:name w:val="发表学术论文情况"/>
    <w:basedOn w:val="48"/>
    <w:qFormat/>
    <w:uiPriority w:val="99"/>
  </w:style>
  <w:style w:type="paragraph" w:customStyle="1" w:styleId="148">
    <w:name w:val="样式 标题 2"/>
    <w:basedOn w:val="3"/>
    <w:qFormat/>
    <w:uiPriority w:val="99"/>
    <w:rPr>
      <w:rFonts w:cs="宋体"/>
      <w:szCs w:val="20"/>
    </w:rPr>
  </w:style>
  <w:style w:type="table" w:customStyle="1" w:styleId="149">
    <w:name w:val="网格型1"/>
    <w:basedOn w:val="31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2"/>
    <customShpInfo spid="_x0000_s103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11852</Words>
  <Characters>12601</Characters>
  <Lines>1156</Lines>
  <Paragraphs>606</Paragraphs>
  <TotalTime>0</TotalTime>
  <ScaleCrop>false</ScaleCrop>
  <LinksUpToDate>false</LinksUpToDate>
  <CharactersWithSpaces>12826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2026-08-07T07:48:00Z</dcterms:created>
  <dc:creator>AgroAgentOS项目团队</dc:creator>
  <dc:description>依据第十五届挑战杯商业计划书模板生成；财务数据为预测口径。</dc:description>
  <cp:keywords>挑战杯,智慧农业,多智能体,农业数字化,商业计划书</cp:keywords>
  <cp:lastModifiedBy>王景皓</cp:lastModifiedBy>
  <cp:lastPrinted>2026-04-17T10:39:00Z</cp:lastPrinted>
  <dcterms:modified xsi:type="dcterms:W3CDTF">2026-08-10T03:30:00Z</dcterms:modified>
  <dc:subject>第十五届“挑战杯”中国大学生创业计划竞赛商业计划书</dc:subject>
  <dc:title>AgroAgentOS——面向中小农场的多智能体智慧农服平台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D3AE7A39966249DAB296C87ED838B51A_12</vt:lpwstr>
  </property>
  <property fmtid="{D5CDD505-2E9C-101B-9397-08002B2CF9AE}" pid="4" name="KSOTemplateDocerSaveRecord">
    <vt:lpwstr>eyJoZGlkIjoiZTUwNjZhMTQwZTM1YTc1OWE1NTE0ZWQ3OTQ2Y2IwMmUiLCJ1c2VySWQiOiIxODU2MzUyNzg0In0=</vt:lpwstr>
  </property>
</Properties>
</file>