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ab/>
        <w:t>Lawrence Bingo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5"/>
        <w:gridCol w:w="2165"/>
        <w:gridCol w:w="2165"/>
        <w:gridCol w:w="2165"/>
        <w:gridCol w:w="2165"/>
      </w:tblGrid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Compliments Ezio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that can be easily misinterpreted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SFFA v. Harvard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Jasmine to cuddle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Picks an argument with Kyle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Gets compliment from Ezio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controversial before Valentine's 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Directly quotes Gorsuch, Roberts, or Scalia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Angers Niko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Calls someone weak and defenseless before May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Gets Goldwater Scholarship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annoyed at Buddy in E&amp;M II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"hi" to Dima in the hallway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Draws an illustration of a classmate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Plays chess with Ryan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Rubs hands vigorously in excitement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summer opportunity (SULI, Los Alamos, etc.)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Begs for points on an exam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scolded by his boss at the Math Center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Ashcroft v. Free Speech Coalition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Speaks to Zbigniew in his office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Kaitlin to rub lotion on his hands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"good job" from Tolya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Exceeds Kaitlin's performance on something academic</w:t>
            </w:r>
          </w:p>
        </w:tc>
      </w:tr>
    </w:tbl>
    <w:sectPr w:rsidR="00FC693F" w:rsidRPr="0006063C" w:rsidSect="00034616">
      <w:pgSz w:w="12240" w:h="15840"/>
      <w:pgMar w:top="283" w:right="567" w:bottom="28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