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Networks: TCP/IP Architecture</w:t>
      </w:r>
    </w:p>
    <w:p>
      <w:pPr>
        <w:pStyle w:val="Heading1"/>
      </w:pPr>
      <w:r>
        <w:t>Layer 1: The Transport Layer and TCP Handshake</w:t>
      </w:r>
    </w:p>
    <w:p>
      <w:r>
        <w:t>Transmission Control Protocol (TCP) provides reliable, ordered, and error-checked delivery of a stream of octets between applications running on hosts communicating via an IP network.</w:t>
      </w:r>
    </w:p>
    <w:p>
      <w:r>
        <w:t>The Three-Way Handshake establishes a synchronized TCP connection: SYN from client, SYN-ACK from server, and ACK from client.</w:t>
      </w:r>
    </w:p>
    <w:p>
      <w:pPr>
        <w:pStyle w:val="Heading1"/>
      </w:pPr>
      <w:r>
        <w:t>Layer 2: Flow Control and Congestion Control</w:t>
      </w:r>
    </w:p>
    <w:p>
      <w:r>
        <w:t>Flow control ensures a sender does not overwhelm a slow receiver using the Sliding Window protocol and Receiver Window (rwnd).</w:t>
      </w:r>
    </w:p>
    <w:p>
      <w:r>
        <w:t>Congestion control manages network buffer bloat using algorithms like Slow Start, Congestion Avoidance, Fast Retransmit, and Fast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