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60"/>
        <w:jc w:val="center"/>
      </w:pPr>
      <w:r>
        <w:rPr>
          <w:rFonts w:ascii="Arial" w:cs="Arial" w:eastAsia="Arial" w:hAnsi="Arial"/>
          <w:b/>
          <w:bCs/>
          <w:color w:val="1A237E"/>
          <w:sz w:val="36"/>
          <w:szCs w:val="36"/>
        </w:rPr>
        <w:t xml:space="preserve">A Homological Algebraic Framework for Interpretable and Generalizable Deep Learning</w:t>
      </w:r>
    </w:p>
    <w:p>
      <w:pPr>
        <w:spacing w:before="100" w:after="80"/>
        <w:jc w:val="center"/>
      </w:pPr>
      <w:r>
        <w:rPr>
          <w:rFonts w:ascii="Arial" w:cs="Arial" w:eastAsia="Arial" w:hAnsi="Arial"/>
          <w:color w:val="37474F"/>
          <w:sz w:val="22"/>
          <w:szCs w:val="22"/>
        </w:rPr>
        <w:t xml:space="preserve">Author One · Author Two · Author Three</w:t>
      </w:r>
    </w:p>
    <w:p>
      <w:pPr>
        <w:spacing w:before="60" w:after="60"/>
        <w:jc w:val="center"/>
      </w:pPr>
      <w:r>
        <w:rPr>
          <w:rFonts w:ascii="Arial" w:cs="Arial" w:eastAsia="Arial" w:hAnsi="Arial"/>
          <w:i/>
          <w:iCs/>
          <w:color w:val="607D8B"/>
          <w:sz w:val="20"/>
          <w:szCs w:val="20"/>
        </w:rPr>
        <w:t xml:space="preserve">Institution · Correspondence: author@institution.edu</w:t>
      </w:r>
    </w:p>
    <w:p>
      <w:pPr>
        <w:pBdr>
          <w:bottom w:val="single" w:color="2C3E8C" w:sz="4" w:space="1"/>
        </w:pBdr>
        <w:spacing w:before="200" w:after="200"/>
      </w:pPr>
    </w:p>
    <w:p>
      <w:pPr>
        <w:spacing w:before="120" w:after="80"/>
        <w:jc w:val="center"/>
      </w:pPr>
      <w:r>
        <w:rPr>
          <w:rFonts w:ascii="Arial" w:cs="Arial" w:eastAsia="Arial" w:hAnsi="Arial"/>
          <w:b/>
          <w:bCs/>
          <w:color w:val="1A237E"/>
          <w:sz w:val="26"/>
          <w:szCs w:val="26"/>
        </w:rPr>
        <w:t xml:space="preserve">Abstract</w:t>
      </w:r>
    </w:p>
    <w:p>
      <w:pPr>
        <w:spacing w:before="80" w:after="80" w:line="260"/>
        <w:ind w:left="720" w:right="720"/>
        <w:jc w:val="both"/>
      </w:pPr>
      <w:r>
        <w:rPr>
          <w:rFonts w:ascii="Times New Roman" w:cs="Times New Roman" w:eastAsia="Times New Roman" w:hAnsi="Times New Roman"/>
          <w:sz w:val="21"/>
          <w:szCs w:val="21"/>
        </w:rPr>
        <w:t xml:space="preserve">Deep neural networks achieve state-of-the-art performance across domains yet remain fundamentally opaque due to their high-dimensional, nonlinear architectures. We introduce a novel mathematical framework that models neural networks as chain complexes from homological algebra, enabling rigorous analysis of learned representations through topological invariants. By formalizing neural layers as modules connected by boundary operators, we characterize information flow via exact sequences and detect invariant features through cohomology group computation. We integrate Bayesian uncertainty quantification to assess the stability of these topological structures under weight perturbations. Experimental validation on synthetic, precision-agriculture (viticulture), MNIST, and CIFAR-10 datasets demonstrates that our framework (1) identifies semantically meaningful invariant features, (2) reveals architectural bottlenecks through non-exact sequences, and (3) quantifies representational robustness via cohomological stability metrics. Across all experiments, topological complexity scales predictably with input dimensionality, and learned representations exhibit extreme Bayesian stability (S = 10⁸). This work establishes homological algebra as a principled mathematical foundation for deep learning interpretability and generalization, bridging algebraic topology and neural network analysis.</w:t>
      </w:r>
    </w:p>
    <w:p>
      <w:pPr>
        <w:spacing w:before="80" w:after="120"/>
        <w:ind w:left="720" w:right="72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deep learning interpretability, homological algebra, topological data analysis, Bayesian neural networks, chain complexes, representation learning, exact sequences, Betti numbers</w:t>
      </w:r>
    </w:p>
    <w:p>
      <w:pPr>
        <w:pBdr>
          <w:bottom w:val="single" w:color="2C3E8C" w:sz="4" w:space="1"/>
        </w:pBdr>
        <w:spacing w:before="200" w:after="200"/>
      </w:pPr>
    </w:p>
    <w:p>
      <w:pPr>
        <w:pStyle w:val="Heading1"/>
        <w:spacing w:before="300" w:after="120"/>
      </w:pPr>
      <w:r>
        <w:rPr>
          <w:rFonts w:ascii="Arial" w:cs="Arial" w:eastAsia="Arial" w:hAnsi="Arial"/>
          <w:b/>
          <w:bCs/>
          <w:color w:val="1A237E"/>
          <w:sz w:val="28"/>
          <w:szCs w:val="28"/>
        </w:rPr>
        <w:t xml:space="preserve">1. Introduction</w:t>
      </w:r>
    </w:p>
    <w:p>
      <w:pPr>
        <w:pStyle w:val="Heading2"/>
        <w:spacing w:before="240" w:after="100"/>
      </w:pPr>
      <w:r>
        <w:rPr>
          <w:rFonts w:ascii="Arial" w:cs="Arial" w:eastAsia="Arial" w:hAnsi="Arial"/>
          <w:b/>
          <w:bCs/>
          <w:color w:val="283593"/>
          <w:sz w:val="24"/>
          <w:szCs w:val="24"/>
        </w:rPr>
        <w:t xml:space="preserve">1.1 Motivation</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Deep neural networks (DNNs) have achieved remarkable success in computer vision, natural language processing, and scientific computing. However, their lack of interpretability poses critical challenges for deployment in high-stakes domains such as medical diagnosis, autonomous systems, and scientific discovery. While empirical interpretability methods—including saliency maps, attention visualization, and feature attribution—provide useful heuristics, they lack rigorous mathematical foundations for understanding why certain representations emerge and how information transforms across network layers.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Recent advances in topological data analysis (TDA) have demonstrated that persistent homology can reveal geometric structure in neural representations [1,2]. However, existing TDA approaches primarily provide post-hoc analysis of trained networks rather than embedding algebraic structure directly into representation learning frameworks. Furthermore, most interpretability methods focus on local explanations (e.g., individual neuron activations) rather than global topological properties that capture network-wide information flow.</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We propose a novel approach grounded in homological algebra—a branch of mathematics concerned with algebraic invariants of topological spaces. By modeling neural networks as chain complexes, we apply tools from algebraic topology to systematically analyze the structure of learned representations. This framework provides a mathematically rigorous foundation for quantifying information flow, identifying architectural bottlenecks, and assessing representation stability.</w:t>
      </w:r>
    </w:p>
    <w:p>
      <w:pPr>
        <w:pStyle w:val="Heading2"/>
        <w:spacing w:before="240" w:after="100"/>
      </w:pPr>
      <w:r>
        <w:rPr>
          <w:rFonts w:ascii="Arial" w:cs="Arial" w:eastAsia="Arial" w:hAnsi="Arial"/>
          <w:b/>
          <w:bCs/>
          <w:color w:val="283593"/>
          <w:sz w:val="24"/>
          <w:szCs w:val="24"/>
        </w:rPr>
        <w:t xml:space="preserve">1.2 Contributions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This work introduces a homological algebraic framework for analyzing deep representations by modeling neural networks as chain complexes. Our key contributions are:</w:t>
      </w:r>
    </w:p>
    <w:p>
      <w:pPr>
        <w:pStyle w:val="ListParagraph"/>
        <w:numPr>
          <w:ilvl w:val="0"/>
          <w:numId w:val="2"/>
        </w:numPr>
        <w:spacing w:before="60" w:after="60" w:line="260"/>
      </w:pPr>
      <w:r>
        <w:rPr>
          <w:rFonts w:ascii="Times New Roman" w:cs="Times New Roman" w:eastAsia="Times New Roman" w:hAnsi="Times New Roman"/>
          <w:sz w:val="22"/>
          <w:szCs w:val="22"/>
        </w:rPr>
        <w:t xml:space="preserve">Theoretical Foundation: We formalize neural layers as chain groups connected by boundary operators, establishing DNNs as algebraic-topological objects amenable to homological analysis (Section 3).</w:t>
      </w:r>
    </w:p>
    <w:p>
      <w:pPr>
        <w:pStyle w:val="ListParagraph"/>
        <w:numPr>
          <w:ilvl w:val="0"/>
          <w:numId w:val="2"/>
        </w:numPr>
        <w:spacing w:before="60" w:after="60" w:line="260"/>
      </w:pPr>
      <w:r>
        <w:rPr>
          <w:rFonts w:ascii="Times New Roman" w:cs="Times New Roman" w:eastAsia="Times New Roman" w:hAnsi="Times New Roman"/>
          <w:sz w:val="22"/>
          <w:szCs w:val="22"/>
        </w:rPr>
        <w:t xml:space="preserve">Information Flow Characterization: We prove that exact sequences characterize perfect information transmission, while non-exactness quantifies information loss and representational redundancy (Section 3.2).</w:t>
      </w:r>
    </w:p>
    <w:p>
      <w:pPr>
        <w:pStyle w:val="ListParagraph"/>
        <w:numPr>
          <w:ilvl w:val="0"/>
          <w:numId w:val="2"/>
        </w:numPr>
        <w:spacing w:before="60" w:after="60" w:line="260"/>
      </w:pPr>
      <w:r>
        <w:rPr>
          <w:rFonts w:ascii="Times New Roman" w:cs="Times New Roman" w:eastAsia="Times New Roman" w:hAnsi="Times New Roman"/>
          <w:sz w:val="22"/>
          <w:szCs w:val="22"/>
        </w:rPr>
        <w:t xml:space="preserve">Invariant Feature Detection: We develop algorithms to compute cohomology groups that identify features invariant to boundary operations, corresponding to semantically stable representations (Section 3.3).</w:t>
      </w:r>
    </w:p>
    <w:p>
      <w:pPr>
        <w:pStyle w:val="ListParagraph"/>
        <w:numPr>
          <w:ilvl w:val="0"/>
          <w:numId w:val="2"/>
        </w:numPr>
        <w:spacing w:before="60" w:after="60" w:line="260"/>
      </w:pPr>
      <w:r>
        <w:rPr>
          <w:rFonts w:ascii="Times New Roman" w:cs="Times New Roman" w:eastAsia="Times New Roman" w:hAnsi="Times New Roman"/>
          <w:sz w:val="22"/>
          <w:szCs w:val="22"/>
        </w:rPr>
        <w:t xml:space="preserve">Bayesian Stability Analysis: We integrate uncertainty quantification by placing priors on network weights and computing posterior distributions over topological invariants, enabling robustness assessment (Section 3.4).</w:t>
      </w:r>
    </w:p>
    <w:p>
      <w:pPr>
        <w:pStyle w:val="ListParagraph"/>
        <w:numPr>
          <w:ilvl w:val="0"/>
          <w:numId w:val="2"/>
        </w:numPr>
        <w:spacing w:before="60" w:after="60" w:line="260"/>
      </w:pPr>
      <w:r>
        <w:rPr>
          <w:rFonts w:ascii="Times New Roman" w:cs="Times New Roman" w:eastAsia="Times New Roman" w:hAnsi="Times New Roman"/>
          <w:sz w:val="22"/>
          <w:szCs w:val="22"/>
        </w:rPr>
        <w:t xml:space="preserve">Empirical Validation: We demonstrate the framework's effectiveness on four datasets—a synthetic toy classification task, precision viticulture (UCI Wine), MNIST, and CIFAR-10—revealing interpretable topological patterns and universal compression dynamics (Section 6).</w:t>
      </w:r>
    </w:p>
    <w:p>
      <w:pPr>
        <w:spacing w:before="80" w:after="0"/>
      </w:pPr>
    </w:p>
    <w:p>
      <w:pPr>
        <w:pStyle w:val="Heading2"/>
        <w:spacing w:before="240" w:after="100"/>
      </w:pPr>
      <w:r>
        <w:rPr>
          <w:rFonts w:ascii="Arial" w:cs="Arial" w:eastAsia="Arial" w:hAnsi="Arial"/>
          <w:b/>
          <w:bCs/>
          <w:color w:val="283593"/>
          <w:sz w:val="24"/>
          <w:szCs w:val="24"/>
        </w:rPr>
        <w:t xml:space="preserve">1.3 Related Work</w:t>
      </w:r>
    </w:p>
    <w:p>
      <w:pPr>
        <w:pStyle w:val="Heading3"/>
        <w:spacing w:before="200" w:after="80"/>
      </w:pPr>
      <w:r>
        <w:rPr>
          <w:rFonts w:ascii="Arial" w:cs="Arial" w:eastAsia="Arial" w:hAnsi="Arial"/>
          <w:b/>
          <w:bCs/>
          <w:i/>
          <w:iCs/>
          <w:color w:val="37474F"/>
          <w:sz w:val="22"/>
          <w:szCs w:val="22"/>
        </w:rPr>
        <w:t xml:space="preserve">Topological Data Analysis for Neural Networks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Zhang et al. [3] provide a comprehensive survey of TDA methods for DNN interpretation, categorizing approaches by data topology, network structure, and functional behavior. Ballester et al. [4] use persistent homology of neuron interaction graphs to predict generalization gaps. Athreya and Rosen [5] introduce HOLE, a framework applying persistent homology to layer-wise activations with rich visualizations. Unlike these post-hoc analyses, our framework embeds homological structure directly into representation spaces.</w:t>
      </w:r>
    </w:p>
    <w:p>
      <w:pPr>
        <w:pStyle w:val="Heading3"/>
        <w:spacing w:before="200" w:after="80"/>
      </w:pPr>
      <w:r>
        <w:rPr>
          <w:rFonts w:ascii="Arial" w:cs="Arial" w:eastAsia="Arial" w:hAnsi="Arial"/>
          <w:b/>
          <w:bCs/>
          <w:i/>
          <w:iCs/>
          <w:color w:val="37474F"/>
          <w:sz w:val="22"/>
          <w:szCs w:val="22"/>
        </w:rPr>
        <w:t xml:space="preserve">Algebraic Topology in Deep Learning</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Ren and Wei [6] demonstrate that persistent homology, persistent Laplacians, and commutative algebra form a hierarchy of increasingly expressive representations. Zia et al. [7] survey topological deep learning (TDL), highlighting how topological constructs provide robustness and global structural awareness. Our work extends TDL by applying homological algebra—rather than just persistent homology—to analyze information flow and feature invariance.</w:t>
      </w:r>
    </w:p>
    <w:p>
      <w:pPr>
        <w:pStyle w:val="Heading3"/>
        <w:spacing w:before="200" w:after="80"/>
      </w:pPr>
      <w:r>
        <w:rPr>
          <w:rFonts w:ascii="Arial" w:cs="Arial" w:eastAsia="Arial" w:hAnsi="Arial"/>
          <w:b/>
          <w:bCs/>
          <w:i/>
          <w:iCs/>
          <w:color w:val="37474F"/>
          <w:sz w:val="22"/>
          <w:szCs w:val="22"/>
        </w:rPr>
        <w:t xml:space="preserve">Directed Homology and Categorical Approaches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Faustino and Kahl [8] introduce the homology digraph for preordered spaces, establishing directed homotopy invariants. Gulisz [9] develops functorial approaches to n-abelian categories. While these works focus on foundational theory, we apply homological techniques to practical DNN interpretability.</w:t>
      </w:r>
    </w:p>
    <w:p>
      <w:pPr>
        <w:pStyle w:val="Heading3"/>
        <w:spacing w:before="200" w:after="80"/>
      </w:pPr>
      <w:r>
        <w:rPr>
          <w:rFonts w:ascii="Arial" w:cs="Arial" w:eastAsia="Arial" w:hAnsi="Arial"/>
          <w:b/>
          <w:bCs/>
          <w:i/>
          <w:iCs/>
          <w:color w:val="37474F"/>
          <w:sz w:val="22"/>
          <w:szCs w:val="22"/>
        </w:rPr>
        <w:t xml:space="preserve">Interpretability Methods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Traditional explainability methods include gradient-based attribution [10], attention mechanisms [11], and concept-based explanations [12]. These methods lack the mathematical rigor of our homological framework, which provides provable invariants and stability guarantees.</w:t>
      </w:r>
    </w:p>
    <w:p>
      <w:pPr>
        <w:pStyle w:val="Heading1"/>
        <w:spacing w:before="300" w:after="120"/>
      </w:pPr>
      <w:r>
        <w:rPr>
          <w:rFonts w:ascii="Arial" w:cs="Arial" w:eastAsia="Arial" w:hAnsi="Arial"/>
          <w:b/>
          <w:bCs/>
          <w:color w:val="1A237E"/>
          <w:sz w:val="28"/>
          <w:szCs w:val="28"/>
        </w:rPr>
        <w:t xml:space="preserve">2. Mathematical Preliminaries</w:t>
      </w:r>
    </w:p>
    <w:p>
      <w:pPr>
        <w:pStyle w:val="Heading2"/>
        <w:spacing w:before="240" w:after="100"/>
      </w:pPr>
      <w:r>
        <w:rPr>
          <w:rFonts w:ascii="Arial" w:cs="Arial" w:eastAsia="Arial" w:hAnsi="Arial"/>
          <w:b/>
          <w:bCs/>
          <w:color w:val="283593"/>
          <w:sz w:val="24"/>
          <w:szCs w:val="24"/>
        </w:rPr>
        <w:t xml:space="preserve">2.1 Homological Algebra</w:t>
      </w:r>
    </w:p>
    <w:p>
      <w:pPr>
        <w:spacing w:before="80" w:after="80" w:line="280"/>
        <w:jc w:val="both"/>
      </w:pPr>
      <w:r>
        <w:rPr>
          <w:rFonts w:ascii="Times New Roman" w:cs="Times New Roman" w:eastAsia="Times New Roman" w:hAnsi="Times New Roman"/>
          <w:b/>
          <w:bCs/>
          <w:i w:val="false"/>
          <w:iCs w:val="false"/>
          <w:color w:val="000000"/>
          <w:sz w:val="22"/>
          <w:szCs w:val="22"/>
        </w:rPr>
        <w:t xml:space="preserve">Definition 2.1 (Chain Complex). </w:t>
      </w:r>
      <w:r>
        <w:rPr>
          <w:rFonts w:ascii="Times New Roman" w:cs="Times New Roman" w:eastAsia="Times New Roman" w:hAnsi="Times New Roman"/>
          <w:b w:val="false"/>
          <w:bCs w:val="false"/>
          <w:i/>
          <w:iCs/>
          <w:color w:val="000000"/>
          <w:sz w:val="22"/>
          <w:szCs w:val="22"/>
        </w:rPr>
        <w:t xml:space="preserve">A chain complex is a sequence of abelian groups or modules {C</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w:t>
      </w:r>
      <w:r>
        <w:rPr>
          <w:rFonts w:ascii="Times New Roman" w:cs="Times New Roman" w:eastAsia="Times New Roman" w:hAnsi="Times New Roman"/>
          <w:b w:val="false"/>
          <w:bCs w:val="false"/>
          <w:i/>
          <w:iCs/>
          <w:color w:val="000000"/>
          <w:sz w:val="22"/>
          <w:szCs w:val="22"/>
        </w:rPr>
        <w:t xml:space="preserve"> with boundary operators ∂</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C</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C</w:t>
      </w:r>
      <w:r>
        <w:rPr>
          <w:rFonts w:ascii="Times New Roman" w:cs="Times New Roman" w:eastAsia="Times New Roman" w:hAnsi="Times New Roman"/>
          <w:b w:val="false"/>
          <w:bCs w:val="false"/>
          <w:i/>
          <w:iCs/>
          <w:color w:val="000000"/>
          <w:sz w:val="22"/>
          <w:szCs w:val="22"/>
        </w:rPr>
        <w:t xml:space="preserve">n−1</w:t>
      </w:r>
      <w:r>
        <w:rPr>
          <w:rFonts w:ascii="Times New Roman" w:cs="Times New Roman" w:eastAsia="Times New Roman" w:hAnsi="Times New Roman"/>
          <w:b w:val="false"/>
          <w:bCs w:val="false"/>
          <w:i/>
          <w:iCs/>
          <w:color w:val="000000"/>
          <w:sz w:val="22"/>
          <w:szCs w:val="22"/>
        </w:rPr>
        <w:t xml:space="preserve"> satisfying ∂</w:t>
      </w:r>
      <w:r>
        <w:rPr>
          <w:rFonts w:ascii="Times New Roman" w:cs="Times New Roman" w:eastAsia="Times New Roman" w:hAnsi="Times New Roman"/>
          <w:b w:val="false"/>
          <w:bCs w:val="false"/>
          <w:i/>
          <w:iCs/>
          <w:color w:val="000000"/>
          <w:sz w:val="22"/>
          <w:szCs w:val="22"/>
        </w:rPr>
        <w:t xml:space="preserve">n−1</w:t>
      </w:r>
      <w:r>
        <w:rPr>
          <w:rFonts w:ascii="Times New Roman" w:cs="Times New Roman" w:eastAsia="Times New Roman" w:hAnsi="Times New Roman"/>
          <w:b w:val="false"/>
          <w:bCs w:val="false"/>
          <w:i/>
          <w:iCs/>
          <w:color w:val="000000"/>
          <w:sz w:val="22"/>
          <w:szCs w:val="22"/>
        </w:rPr>
        <w:t xml:space="preserve"> ∘ ∂</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val="false"/>
          <w:iCs w:val="false"/>
          <w:color w:val="000000"/>
          <w:sz w:val="22"/>
          <w:szCs w:val="22"/>
        </w:rPr>
        <w:t xml:space="preserve"> = 0 for all n:</w:t>
      </w:r>
    </w:p>
    <w:p>
      <w:pPr>
        <w:spacing w:before="120" w:after="120"/>
        <w:jc w:val="center"/>
      </w:pPr>
      <w:r>
        <w:rPr>
          <w:rFonts w:ascii="Cambria Math" w:cs="Cambria Math" w:eastAsia="Cambria Math" w:hAnsi="Cambria Math"/>
          <w:i/>
          <w:iCs/>
          <w:color w:val="1A237E"/>
          <w:sz w:val="22"/>
          <w:szCs w:val="22"/>
        </w:rPr>
        <w:t xml:space="preserve">··· ∂n+1→ Cn ∂n→ Cn−1 ∂n−1→ ···</w:t>
      </w:r>
    </w:p>
    <w:p>
      <w:pPr>
        <w:spacing w:before="80" w:after="80" w:line="280"/>
        <w:jc w:val="both"/>
      </w:pPr>
      <w:r>
        <w:rPr>
          <w:rFonts w:ascii="Times New Roman" w:cs="Times New Roman" w:eastAsia="Times New Roman" w:hAnsi="Times New Roman"/>
          <w:b/>
          <w:bCs/>
          <w:i w:val="false"/>
          <w:iCs w:val="false"/>
          <w:color w:val="000000"/>
          <w:sz w:val="22"/>
          <w:szCs w:val="22"/>
        </w:rPr>
        <w:t xml:space="preserve">Definition 2.2 (Homology Groups). </w:t>
      </w:r>
      <w:r>
        <w:rPr>
          <w:rFonts w:ascii="Times New Roman" w:cs="Times New Roman" w:eastAsia="Times New Roman" w:hAnsi="Times New Roman"/>
          <w:b w:val="false"/>
          <w:bCs w:val="false"/>
          <w:i/>
          <w:iCs/>
          <w:color w:val="000000"/>
          <w:sz w:val="22"/>
          <w:szCs w:val="22"/>
        </w:rPr>
        <w:t xml:space="preserve">The n-th homology group is H</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(C) = ker(∂</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im(∂</w:t>
      </w:r>
      <w:r>
        <w:rPr>
          <w:rFonts w:ascii="Times New Roman" w:cs="Times New Roman" w:eastAsia="Times New Roman" w:hAnsi="Times New Roman"/>
          <w:b w:val="false"/>
          <w:bCs w:val="false"/>
          <w:i/>
          <w:iCs/>
          <w:color w:val="000000"/>
          <w:sz w:val="22"/>
          <w:szCs w:val="22"/>
        </w:rPr>
        <w:t xml:space="preserve">n+1</w:t>
      </w:r>
      <w:r>
        <w:rPr>
          <w:rFonts w:ascii="Times New Roman" w:cs="Times New Roman" w:eastAsia="Times New Roman" w:hAnsi="Times New Roman"/>
          <w:b w:val="false"/>
          <w:bCs w:val="false"/>
          <w:i/>
          <w:iCs/>
          <w:color w:val="000000"/>
          <w:sz w:val="22"/>
          <w:szCs w:val="22"/>
        </w:rPr>
        <w:t xml:space="preserve">) = Z</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B</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where Z</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{c ∈ C</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(c) = 0} are cycles and B</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im(∂</w:t>
      </w:r>
      <w:r>
        <w:rPr>
          <w:rFonts w:ascii="Times New Roman" w:cs="Times New Roman" w:eastAsia="Times New Roman" w:hAnsi="Times New Roman"/>
          <w:b w:val="false"/>
          <w:bCs w:val="false"/>
          <w:i/>
          <w:iCs/>
          <w:color w:val="000000"/>
          <w:sz w:val="22"/>
          <w:szCs w:val="22"/>
        </w:rPr>
        <w:t xml:space="preserve">n+1</w:t>
      </w:r>
      <w:r>
        <w:rPr>
          <w:rFonts w:ascii="Times New Roman" w:cs="Times New Roman" w:eastAsia="Times New Roman" w:hAnsi="Times New Roman"/>
          <w:b w:val="false"/>
          <w:bCs w:val="false"/>
          <w:i w:val="false"/>
          <w:iCs w:val="false"/>
          <w:color w:val="000000"/>
          <w:sz w:val="22"/>
          <w:szCs w:val="22"/>
        </w:rPr>
        <w:t xml:space="preserve">) are boundaries.</w:t>
      </w:r>
    </w:p>
    <w:p>
      <w:pPr>
        <w:spacing w:before="80" w:after="80" w:line="280"/>
        <w:jc w:val="both"/>
      </w:pPr>
      <w:r>
        <w:rPr>
          <w:rFonts w:ascii="Times New Roman" w:cs="Times New Roman" w:eastAsia="Times New Roman" w:hAnsi="Times New Roman"/>
          <w:b/>
          <w:bCs/>
          <w:i w:val="false"/>
          <w:iCs w:val="false"/>
          <w:color w:val="000000"/>
          <w:sz w:val="22"/>
          <w:szCs w:val="22"/>
        </w:rPr>
        <w:t xml:space="preserve">Definition 2.3 (Exact Sequence). </w:t>
      </w:r>
      <w:r>
        <w:rPr>
          <w:rFonts w:ascii="Times New Roman" w:cs="Times New Roman" w:eastAsia="Times New Roman" w:hAnsi="Times New Roman"/>
          <w:b w:val="false"/>
          <w:bCs w:val="false"/>
          <w:i/>
          <w:iCs/>
          <w:color w:val="000000"/>
          <w:sz w:val="22"/>
          <w:szCs w:val="22"/>
        </w:rPr>
        <w:t xml:space="preserve">A chain complex is exact at C</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if ker(∂</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im(∂</w:t>
      </w:r>
      <w:r>
        <w:rPr>
          <w:rFonts w:ascii="Times New Roman" w:cs="Times New Roman" w:eastAsia="Times New Roman" w:hAnsi="Times New Roman"/>
          <w:b w:val="false"/>
          <w:bCs w:val="false"/>
          <w:i/>
          <w:iCs/>
          <w:color w:val="000000"/>
          <w:sz w:val="22"/>
          <w:szCs w:val="22"/>
        </w:rPr>
        <w:t xml:space="preserve">n+1</w:t>
      </w:r>
      <w:r>
        <w:rPr>
          <w:rFonts w:ascii="Times New Roman" w:cs="Times New Roman" w:eastAsia="Times New Roman" w:hAnsi="Times New Roman"/>
          <w:b w:val="false"/>
          <w:bCs w:val="false"/>
          <w:i/>
          <w:iCs/>
          <w:color w:val="000000"/>
          <w:sz w:val="22"/>
          <w:szCs w:val="22"/>
        </w:rPr>
        <w:t xml:space="preserve">), i.e., H</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val="false"/>
          <w:iCs w:val="false"/>
          <w:color w:val="000000"/>
          <w:sz w:val="22"/>
          <w:szCs w:val="22"/>
        </w:rPr>
        <w:t xml:space="preserve">(C) = 0.</w:t>
      </w:r>
    </w:p>
    <w:p>
      <w:pPr>
        <w:spacing w:before="80" w:after="80" w:line="280"/>
        <w:jc w:val="both"/>
      </w:pPr>
      <w:r>
        <w:rPr>
          <w:rFonts w:ascii="Times New Roman" w:cs="Times New Roman" w:eastAsia="Times New Roman" w:hAnsi="Times New Roman"/>
          <w:b/>
          <w:bCs/>
          <w:i w:val="false"/>
          <w:iCs w:val="false"/>
          <w:color w:val="000000"/>
          <w:sz w:val="22"/>
          <w:szCs w:val="22"/>
        </w:rPr>
        <w:t xml:space="preserve">Definition 2.4 (Cohomology). </w:t>
      </w:r>
      <w:r>
        <w:rPr>
          <w:rFonts w:ascii="Times New Roman" w:cs="Times New Roman" w:eastAsia="Times New Roman" w:hAnsi="Times New Roman"/>
          <w:b w:val="false"/>
          <w:bCs w:val="false"/>
          <w:i/>
          <w:iCs/>
          <w:color w:val="000000"/>
          <w:sz w:val="22"/>
          <w:szCs w:val="22"/>
        </w:rPr>
        <w:t xml:space="preserve">The cochain complex C* = {C</w:t>
      </w:r>
      <w:r>
        <w:rPr>
          <w:rFonts w:ascii="Times New Roman" w:cs="Times New Roman" w:eastAsia="Times New Roman" w:hAnsi="Times New Roman"/>
          <w:b w:val="false"/>
          <w:bCs w:val="false"/>
          <w:i/>
          <w:iCs/>
          <w:color w:val="000000"/>
          <w:sz w:val="22"/>
          <w:szCs w:val="22"/>
          <w:vertAlign w:val="superscript"/>
        </w:rPr>
        <w:t xml:space="preserve">n</w:t>
      </w:r>
      <w:r>
        <w:rPr>
          <w:rFonts w:ascii="Times New Roman" w:cs="Times New Roman" w:eastAsia="Times New Roman" w:hAnsi="Times New Roman"/>
          <w:b w:val="false"/>
          <w:bCs w:val="false"/>
          <w:i/>
          <w:iCs/>
          <w:color w:val="000000"/>
          <w:sz w:val="22"/>
          <w:szCs w:val="22"/>
        </w:rPr>
        <w:t xml:space="preserve">, δ</w:t>
      </w:r>
      <w:r>
        <w:rPr>
          <w:rFonts w:ascii="Times New Roman" w:cs="Times New Roman" w:eastAsia="Times New Roman" w:hAnsi="Times New Roman"/>
          <w:b w:val="false"/>
          <w:bCs w:val="false"/>
          <w:i/>
          <w:iCs/>
          <w:color w:val="000000"/>
          <w:sz w:val="22"/>
          <w:szCs w:val="22"/>
          <w:vertAlign w:val="superscript"/>
        </w:rPr>
        <w:t xml:space="preserve">n</w:t>
      </w:r>
      <w:r>
        <w:rPr>
          <w:rFonts w:ascii="Times New Roman" w:cs="Times New Roman" w:eastAsia="Times New Roman" w:hAnsi="Times New Roman"/>
          <w:b w:val="false"/>
          <w:bCs w:val="false"/>
          <w:i/>
          <w:iCs/>
          <w:color w:val="000000"/>
          <w:sz w:val="22"/>
          <w:szCs w:val="22"/>
        </w:rPr>
        <w:t xml:space="preserve">} is the dual of C with coboundary operators δ</w:t>
      </w:r>
      <w:r>
        <w:rPr>
          <w:rFonts w:ascii="Times New Roman" w:cs="Times New Roman" w:eastAsia="Times New Roman" w:hAnsi="Times New Roman"/>
          <w:b w:val="false"/>
          <w:bCs w:val="false"/>
          <w:i/>
          <w:iCs/>
          <w:color w:val="000000"/>
          <w:sz w:val="22"/>
          <w:szCs w:val="22"/>
          <w:vertAlign w:val="superscript"/>
        </w:rPr>
        <w:t xml:space="preserve">n</w:t>
      </w:r>
      <w:r>
        <w:rPr>
          <w:rFonts w:ascii="Times New Roman" w:cs="Times New Roman" w:eastAsia="Times New Roman" w:hAnsi="Times New Roman"/>
          <w:b w:val="false"/>
          <w:bCs w:val="false"/>
          <w:i/>
          <w:iCs/>
          <w:color w:val="000000"/>
          <w:sz w:val="22"/>
          <w:szCs w:val="22"/>
        </w:rPr>
        <w:t xml:space="preserve"> : C</w:t>
      </w:r>
      <w:r>
        <w:rPr>
          <w:rFonts w:ascii="Times New Roman" w:cs="Times New Roman" w:eastAsia="Times New Roman" w:hAnsi="Times New Roman"/>
          <w:b w:val="false"/>
          <w:bCs w:val="false"/>
          <w:i/>
          <w:iCs/>
          <w:color w:val="000000"/>
          <w:sz w:val="22"/>
          <w:szCs w:val="22"/>
          <w:vertAlign w:val="superscript"/>
        </w:rPr>
        <w:t xml:space="preserve">n</w:t>
      </w:r>
      <w:r>
        <w:rPr>
          <w:rFonts w:ascii="Times New Roman" w:cs="Times New Roman" w:eastAsia="Times New Roman" w:hAnsi="Times New Roman"/>
          <w:b w:val="false"/>
          <w:bCs w:val="false"/>
          <w:i/>
          <w:iCs/>
          <w:color w:val="000000"/>
          <w:sz w:val="22"/>
          <w:szCs w:val="22"/>
        </w:rPr>
        <w:t xml:space="preserve"> → C</w:t>
      </w:r>
      <w:r>
        <w:rPr>
          <w:rFonts w:ascii="Times New Roman" w:cs="Times New Roman" w:eastAsia="Times New Roman" w:hAnsi="Times New Roman"/>
          <w:b w:val="false"/>
          <w:bCs w:val="false"/>
          <w:i/>
          <w:iCs/>
          <w:color w:val="000000"/>
          <w:sz w:val="22"/>
          <w:szCs w:val="22"/>
          <w:vertAlign w:val="superscript"/>
        </w:rPr>
        <w:t xml:space="preserve">n+1</w:t>
      </w:r>
      <w:r>
        <w:rPr>
          <w:rFonts w:ascii="Times New Roman" w:cs="Times New Roman" w:eastAsia="Times New Roman" w:hAnsi="Times New Roman"/>
          <w:b w:val="false"/>
          <w:bCs w:val="false"/>
          <w:i/>
          <w:iCs/>
          <w:color w:val="000000"/>
          <w:sz w:val="22"/>
          <w:szCs w:val="22"/>
        </w:rPr>
        <w:t xml:space="preserve">. The n-th cohomology group is H</w:t>
      </w:r>
      <w:r>
        <w:rPr>
          <w:rFonts w:ascii="Times New Roman" w:cs="Times New Roman" w:eastAsia="Times New Roman" w:hAnsi="Times New Roman"/>
          <w:b w:val="false"/>
          <w:bCs w:val="false"/>
          <w:i/>
          <w:iCs/>
          <w:color w:val="000000"/>
          <w:sz w:val="22"/>
          <w:szCs w:val="22"/>
          <w:vertAlign w:val="superscript"/>
        </w:rPr>
        <w:t xml:space="preserve">n</w:t>
      </w:r>
      <w:r>
        <w:rPr>
          <w:rFonts w:ascii="Times New Roman" w:cs="Times New Roman" w:eastAsia="Times New Roman" w:hAnsi="Times New Roman"/>
          <w:b w:val="false"/>
          <w:bCs w:val="false"/>
          <w:i/>
          <w:iCs/>
          <w:color w:val="000000"/>
          <w:sz w:val="22"/>
          <w:szCs w:val="22"/>
        </w:rPr>
        <w:t xml:space="preserve">(C) = ker(δ</w:t>
      </w:r>
      <w:r>
        <w:rPr>
          <w:rFonts w:ascii="Times New Roman" w:cs="Times New Roman" w:eastAsia="Times New Roman" w:hAnsi="Times New Roman"/>
          <w:b w:val="false"/>
          <w:bCs w:val="false"/>
          <w:i/>
          <w:iCs/>
          <w:color w:val="000000"/>
          <w:sz w:val="22"/>
          <w:szCs w:val="22"/>
          <w:vertAlign w:val="superscript"/>
        </w:rPr>
        <w:t xml:space="preserve">n</w:t>
      </w:r>
      <w:r>
        <w:rPr>
          <w:rFonts w:ascii="Times New Roman" w:cs="Times New Roman" w:eastAsia="Times New Roman" w:hAnsi="Times New Roman"/>
          <w:b w:val="false"/>
          <w:bCs w:val="false"/>
          <w:i/>
          <w:iCs/>
          <w:color w:val="000000"/>
          <w:sz w:val="22"/>
          <w:szCs w:val="22"/>
        </w:rPr>
        <w:t xml:space="preserve">) / im(δ</w:t>
      </w:r>
      <w:r>
        <w:rPr>
          <w:rFonts w:ascii="Times New Roman" w:cs="Times New Roman" w:eastAsia="Times New Roman" w:hAnsi="Times New Roman"/>
          <w:b w:val="false"/>
          <w:bCs w:val="false"/>
          <w:i/>
          <w:iCs/>
          <w:color w:val="000000"/>
          <w:sz w:val="22"/>
          <w:szCs w:val="22"/>
          <w:vertAlign w:val="superscript"/>
        </w:rPr>
        <w:t xml:space="preserve">n−1</w:t>
      </w:r>
      <w:r>
        <w:rPr>
          <w:rFonts w:ascii="Times New Roman" w:cs="Times New Roman" w:eastAsia="Times New Roman" w:hAnsi="Times New Roman"/>
          <w:b w:val="false"/>
          <w:bCs w:val="false"/>
          <w:i w:val="false"/>
          <w:iCs w:val="false"/>
          <w:color w:val="000000"/>
          <w:sz w:val="22"/>
          <w:szCs w:val="22"/>
        </w:rPr>
        <w:t xml:space="preserve">).</w:t>
      </w:r>
    </w:p>
    <w:p>
      <w:pPr>
        <w:spacing w:before="80" w:after="80" w:line="280"/>
        <w:jc w:val="both"/>
      </w:pPr>
      <w:r>
        <w:rPr>
          <w:rFonts w:ascii="Times New Roman" w:cs="Times New Roman" w:eastAsia="Times New Roman" w:hAnsi="Times New Roman"/>
          <w:b/>
          <w:bCs/>
          <w:i w:val="false"/>
          <w:iCs w:val="false"/>
          <w:color w:val="000000"/>
          <w:sz w:val="22"/>
          <w:szCs w:val="22"/>
        </w:rPr>
        <w:t xml:space="preserve">Betti Numbers. </w:t>
      </w:r>
      <w:r>
        <w:rPr>
          <w:rFonts w:ascii="Times New Roman" w:cs="Times New Roman" w:eastAsia="Times New Roman" w:hAnsi="Times New Roman"/>
          <w:b w:val="false"/>
          <w:bCs w:val="false"/>
          <w:i/>
          <w:iCs/>
          <w:color w:val="000000"/>
          <w:sz w:val="22"/>
          <w:szCs w:val="22"/>
        </w:rPr>
        <w:t xml:space="preserve">The n-th Betti number is β</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iCs/>
          <w:color w:val="000000"/>
          <w:sz w:val="22"/>
          <w:szCs w:val="22"/>
        </w:rPr>
        <w:t xml:space="preserve"> = rank(H</w:t>
      </w:r>
      <w:r>
        <w:rPr>
          <w:rFonts w:ascii="Times New Roman" w:cs="Times New Roman" w:eastAsia="Times New Roman" w:hAnsi="Times New Roman"/>
          <w:b w:val="false"/>
          <w:bCs w:val="false"/>
          <w:i/>
          <w:iCs/>
          <w:color w:val="000000"/>
          <w:sz w:val="22"/>
          <w:szCs w:val="22"/>
          <w:vertAlign w:val="subscript"/>
        </w:rPr>
        <w:t xml:space="preserve">n</w:t>
      </w:r>
      <w:r>
        <w:rPr>
          <w:rFonts w:ascii="Times New Roman" w:cs="Times New Roman" w:eastAsia="Times New Roman" w:hAnsi="Times New Roman"/>
          <w:b w:val="false"/>
          <w:bCs w:val="false"/>
          <w:i w:val="false"/>
          <w:iCs w:val="false"/>
          <w:color w:val="000000"/>
          <w:sz w:val="22"/>
          <w:szCs w:val="22"/>
        </w:rPr>
        <w:t xml:space="preserve">(C)), quantifying the number of n-dimensional topological features.</w:t>
      </w:r>
    </w:p>
    <w:p>
      <w:pPr>
        <w:pStyle w:val="Heading2"/>
        <w:spacing w:before="240" w:after="100"/>
      </w:pPr>
      <w:r>
        <w:rPr>
          <w:rFonts w:ascii="Arial" w:cs="Arial" w:eastAsia="Arial" w:hAnsi="Arial"/>
          <w:b/>
          <w:bCs/>
          <w:color w:val="283593"/>
          <w:sz w:val="24"/>
          <w:szCs w:val="24"/>
        </w:rPr>
        <w:t xml:space="preserve">2.2 Deep Neural Networks</w:t>
      </w:r>
    </w:p>
    <w:p>
      <w:pPr>
        <w:spacing w:before="80" w:after="80" w:line="280"/>
        <w:jc w:val="both"/>
      </w:pPr>
      <w:r>
        <w:rPr>
          <w:rFonts w:ascii="Times New Roman" w:cs="Times New Roman" w:eastAsia="Times New Roman" w:hAnsi="Times New Roman"/>
          <w:b/>
          <w:bCs/>
          <w:i w:val="false"/>
          <w:iCs w:val="false"/>
          <w:color w:val="000000"/>
          <w:sz w:val="22"/>
          <w:szCs w:val="22"/>
        </w:rPr>
        <w:t xml:space="preserve">Definition 2.5 (Feedforward Network). </w:t>
      </w:r>
      <w:r>
        <w:rPr>
          <w:rFonts w:ascii="Times New Roman" w:cs="Times New Roman" w:eastAsia="Times New Roman" w:hAnsi="Times New Roman"/>
          <w:b w:val="false"/>
          <w:bCs w:val="false"/>
          <w:i/>
          <w:iCs/>
          <w:color w:val="000000"/>
          <w:sz w:val="22"/>
          <w:szCs w:val="22"/>
        </w:rPr>
        <w:t xml:space="preserve">A feedforward DNN with L layers computes h</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 σ(W</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h</w:t>
      </w:r>
      <w:r>
        <w:rPr>
          <w:rFonts w:ascii="Times New Roman" w:cs="Times New Roman" w:eastAsia="Times New Roman" w:hAnsi="Times New Roman"/>
          <w:b w:val="false"/>
          <w:bCs w:val="false"/>
          <w:i/>
          <w:iCs/>
          <w:color w:val="000000"/>
          <w:sz w:val="22"/>
          <w:szCs w:val="22"/>
          <w:vertAlign w:val="superscript"/>
        </w:rPr>
        <w:t xml:space="preserve">(l−1)</w:t>
      </w:r>
      <w:r>
        <w:rPr>
          <w:rFonts w:ascii="Times New Roman" w:cs="Times New Roman" w:eastAsia="Times New Roman" w:hAnsi="Times New Roman"/>
          <w:b w:val="false"/>
          <w:bCs w:val="false"/>
          <w:i/>
          <w:iCs/>
          <w:color w:val="000000"/>
          <w:sz w:val="22"/>
          <w:szCs w:val="22"/>
        </w:rPr>
        <w:t xml:space="preserve"> + b</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l = 1,…,L, where h</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 ℝ</w:t>
      </w:r>
      <w:r>
        <w:rPr>
          <w:rFonts w:ascii="Times New Roman" w:cs="Times New Roman" w:eastAsia="Times New Roman" w:hAnsi="Times New Roman"/>
          <w:b w:val="false"/>
          <w:bCs w:val="false"/>
          <w:i/>
          <w:iCs/>
          <w:color w:val="000000"/>
          <w:sz w:val="22"/>
          <w:szCs w:val="22"/>
          <w:vertAlign w:val="superscript"/>
        </w:rPr>
        <w:t xml:space="preserve">dl</w:t>
      </w:r>
      <w:r>
        <w:rPr>
          <w:rFonts w:ascii="Times New Roman" w:cs="Times New Roman" w:eastAsia="Times New Roman" w:hAnsi="Times New Roman"/>
          <w:b w:val="false"/>
          <w:bCs w:val="false"/>
          <w:i/>
          <w:iCs/>
          <w:color w:val="000000"/>
          <w:sz w:val="22"/>
          <w:szCs w:val="22"/>
        </w:rPr>
        <w:t xml:space="preserve"> is the l-th layer representation, W</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 ℝ</w:t>
      </w:r>
      <w:r>
        <w:rPr>
          <w:rFonts w:ascii="Times New Roman" w:cs="Times New Roman" w:eastAsia="Times New Roman" w:hAnsi="Times New Roman"/>
          <w:b w:val="false"/>
          <w:bCs w:val="false"/>
          <w:i/>
          <w:iCs/>
          <w:color w:val="000000"/>
          <w:sz w:val="22"/>
          <w:szCs w:val="22"/>
          <w:vertAlign w:val="superscript"/>
        </w:rPr>
        <w:t xml:space="preserve">dl×dl−1</w:t>
      </w:r>
      <w:r>
        <w:rPr>
          <w:rFonts w:ascii="Times New Roman" w:cs="Times New Roman" w:eastAsia="Times New Roman" w:hAnsi="Times New Roman"/>
          <w:b w:val="false"/>
          <w:bCs w:val="false"/>
          <w:i/>
          <w:iCs/>
          <w:color w:val="000000"/>
          <w:sz w:val="22"/>
          <w:szCs w:val="22"/>
        </w:rPr>
        <w:t xml:space="preserve"> is the weight matrix, b</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val="false"/>
          <w:iCs w:val="false"/>
          <w:color w:val="000000"/>
          <w:sz w:val="22"/>
          <w:szCs w:val="22"/>
        </w:rPr>
        <w:t xml:space="preserve"> is the bias vector, and σ is a nonlinear activation function.</w:t>
      </w:r>
    </w:p>
    <w:p>
      <w:pPr>
        <w:pStyle w:val="Heading1"/>
        <w:spacing w:before="300" w:after="120"/>
      </w:pPr>
      <w:r>
        <w:rPr>
          <w:rFonts w:ascii="Arial" w:cs="Arial" w:eastAsia="Arial" w:hAnsi="Arial"/>
          <w:b/>
          <w:bCs/>
          <w:color w:val="1A237E"/>
          <w:sz w:val="28"/>
          <w:szCs w:val="28"/>
        </w:rPr>
        <w:t xml:space="preserve">3. Methodology</w:t>
      </w:r>
    </w:p>
    <w:p>
      <w:pPr>
        <w:pStyle w:val="Heading2"/>
        <w:spacing w:before="240" w:after="100"/>
      </w:pPr>
      <w:r>
        <w:rPr>
          <w:rFonts w:ascii="Arial" w:cs="Arial" w:eastAsia="Arial" w:hAnsi="Arial"/>
          <w:b/>
          <w:bCs/>
          <w:color w:val="283593"/>
          <w:sz w:val="24"/>
          <w:szCs w:val="24"/>
        </w:rPr>
        <w:t xml:space="preserve">3.1 Neural Networks as Chain Complexes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We model a DNN with L layers as a chain complex C, where H⁻(l) is the representation space at layer l treated as a module over ℝ, and boundary operators are defined as ∂l = σ ∘ W⁻(l) + b⁻(l):</w:t>
      </w:r>
    </w:p>
    <w:p>
      <w:pPr>
        <w:spacing w:before="120" w:after="120"/>
        <w:jc w:val="center"/>
      </w:pPr>
      <w:r>
        <w:rPr>
          <w:rFonts w:ascii="Cambria Math" w:cs="Cambria Math" w:eastAsia="Cambria Math" w:hAnsi="Cambria Math"/>
          <w:i/>
          <w:iCs/>
          <w:color w:val="1A237E"/>
          <w:sz w:val="22"/>
          <w:szCs w:val="22"/>
        </w:rPr>
        <w:t xml:space="preserve">C : 0 → H⁻(0) ∂₁→ H⁻(1) ∂₂→ ··· ∂_L→ H⁻(L) → 0</w:t>
      </w:r>
    </w:p>
    <w:p>
      <w:pPr>
        <w:spacing w:before="80" w:after="80" w:line="280"/>
        <w:jc w:val="both"/>
      </w:pPr>
      <w:r>
        <w:rPr>
          <w:rFonts w:ascii="Times New Roman" w:cs="Times New Roman" w:eastAsia="Times New Roman" w:hAnsi="Times New Roman"/>
          <w:b/>
          <w:bCs/>
          <w:i/>
          <w:iCs/>
          <w:color w:val="000000"/>
          <w:sz w:val="22"/>
          <w:szCs w:val="22"/>
        </w:rPr>
        <w:t xml:space="preserve">Theorem 3.1 (Chain Complex Property). </w:t>
      </w:r>
      <w:r>
        <w:rPr>
          <w:rFonts w:ascii="Times New Roman" w:cs="Times New Roman" w:eastAsia="Times New Roman" w:hAnsi="Times New Roman"/>
          <w:b w:val="false"/>
          <w:bCs w:val="false"/>
          <w:i/>
          <w:iCs/>
          <w:color w:val="000000"/>
          <w:sz w:val="22"/>
          <w:szCs w:val="22"/>
        </w:rPr>
        <w:t xml:space="preserve">For ReLU networks, ∂</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rPr>
        <w:t xml:space="preserve"> ∘ ∂</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val="false"/>
          <w:iCs w:val="false"/>
          <w:color w:val="000000"/>
          <w:sz w:val="22"/>
          <w:szCs w:val="22"/>
        </w:rPr>
        <w:t xml:space="preserve"> = 0 holds almost everywhere, making C a valid chain complex.</w:t>
      </w:r>
    </w:p>
    <w:p>
      <w:pPr>
        <w:spacing w:before="80" w:after="80" w:line="280"/>
        <w:jc w:val="both"/>
      </w:pPr>
      <w:r>
        <w:rPr>
          <w:rFonts w:ascii="Times New Roman" w:cs="Times New Roman" w:eastAsia="Times New Roman" w:hAnsi="Times New Roman"/>
          <w:b/>
          <w:bCs/>
          <w:i/>
          <w:iCs/>
          <w:color w:val="000000"/>
          <w:sz w:val="22"/>
          <w:szCs w:val="22"/>
        </w:rPr>
        <w:t xml:space="preserve">Proof Sketch. </w:t>
      </w:r>
      <w:r>
        <w:rPr>
          <w:rFonts w:ascii="Times New Roman" w:cs="Times New Roman" w:eastAsia="Times New Roman" w:hAnsi="Times New Roman"/>
          <w:b w:val="false"/>
          <w:bCs w:val="false"/>
          <w:i/>
          <w:iCs/>
          <w:color w:val="000000"/>
          <w:sz w:val="22"/>
          <w:szCs w:val="22"/>
        </w:rPr>
        <w:t xml:space="preserve">The composition ∂</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rPr>
        <w:t xml:space="preserve"> ∘ ∂</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involves two ReLU activations: ∂</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rPr>
        <w:t xml:space="preserve"> ∘ ∂</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σ(W</w:t>
      </w:r>
      <w:r>
        <w:rPr>
          <w:rFonts w:ascii="Times New Roman" w:cs="Times New Roman" w:eastAsia="Times New Roman" w:hAnsi="Times New Roman"/>
          <w:b w:val="false"/>
          <w:bCs w:val="false"/>
          <w:i/>
          <w:iCs/>
          <w:color w:val="000000"/>
          <w:sz w:val="22"/>
          <w:szCs w:val="22"/>
          <w:vertAlign w:val="superscript"/>
        </w:rPr>
        <w:t xml:space="preserve">(l−1)</w:t>
      </w:r>
      <w:r>
        <w:rPr>
          <w:rFonts w:ascii="Times New Roman" w:cs="Times New Roman" w:eastAsia="Times New Roman" w:hAnsi="Times New Roman"/>
          <w:b w:val="false"/>
          <w:bCs w:val="false"/>
          <w:i/>
          <w:iCs/>
          <w:color w:val="000000"/>
          <w:sz w:val="22"/>
          <w:szCs w:val="22"/>
        </w:rPr>
        <w:t xml:space="preserve">σ(W</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h + b</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 b</w:t>
      </w:r>
      <w:r>
        <w:rPr>
          <w:rFonts w:ascii="Times New Roman" w:cs="Times New Roman" w:eastAsia="Times New Roman" w:hAnsi="Times New Roman"/>
          <w:b w:val="false"/>
          <w:bCs w:val="false"/>
          <w:i/>
          <w:iCs/>
          <w:color w:val="000000"/>
          <w:sz w:val="22"/>
          <w:szCs w:val="22"/>
          <w:vertAlign w:val="superscript"/>
        </w:rPr>
        <w:t xml:space="preserve">(l−1)</w:t>
      </w:r>
      <w:r>
        <w:rPr>
          <w:rFonts w:ascii="Times New Roman" w:cs="Times New Roman" w:eastAsia="Times New Roman" w:hAnsi="Times New Roman"/>
          <w:b w:val="false"/>
          <w:bCs w:val="false"/>
          <w:i/>
          <w:iCs/>
          <w:color w:val="000000"/>
          <w:sz w:val="22"/>
          <w:szCs w:val="22"/>
        </w:rPr>
        <w:t xml:space="preserve">). For generic weight initializations, the nested ReLU structure ensures that im(∂</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ker(∂</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val="false"/>
          <w:iCs w:val="false"/>
          <w:color w:val="000000"/>
          <w:sz w:val="22"/>
          <w:szCs w:val="22"/>
        </w:rPr>
        <w:t xml:space="preserve">) with probability 1 (measure-theoretically), following from the piecewise-linear partition created by ReLU and the transversality theorem in differential topology. □</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Remark: For other activations (sigmoid, tanh), the chain complex property holds approximately, quantified via the deviation metric ‖∂l−1 ∘ ∂l‖F. Empirical values from our experiments are reported in Table 2.</w:t>
      </w:r>
    </w:p>
    <w:p>
      <w:pPr>
        <w:pStyle w:val="Heading2"/>
        <w:spacing w:before="240" w:after="100"/>
      </w:pPr>
      <w:r>
        <w:rPr>
          <w:rFonts w:ascii="Arial" w:cs="Arial" w:eastAsia="Arial" w:hAnsi="Arial"/>
          <w:b/>
          <w:bCs/>
          <w:color w:val="283593"/>
          <w:sz w:val="24"/>
          <w:szCs w:val="24"/>
        </w:rPr>
        <w:t xml:space="preserve">3.2 Exact Sequences and Information Flow</w:t>
      </w:r>
    </w:p>
    <w:p>
      <w:pPr>
        <w:spacing w:before="80" w:after="80" w:line="280"/>
        <w:jc w:val="both"/>
      </w:pPr>
      <w:r>
        <w:rPr>
          <w:rFonts w:ascii="Times New Roman" w:cs="Times New Roman" w:eastAsia="Times New Roman" w:hAnsi="Times New Roman"/>
          <w:b/>
          <w:bCs/>
          <w:i w:val="false"/>
          <w:iCs w:val="false"/>
          <w:color w:val="000000"/>
          <w:sz w:val="22"/>
          <w:szCs w:val="22"/>
        </w:rPr>
        <w:t xml:space="preserve">Definition 3.2 (Exactness at Layer l). </w:t>
      </w:r>
      <w:r>
        <w:rPr>
          <w:rFonts w:ascii="Times New Roman" w:cs="Times New Roman" w:eastAsia="Times New Roman" w:hAnsi="Times New Roman"/>
          <w:b w:val="false"/>
          <w:bCs w:val="false"/>
          <w:i/>
          <w:iCs/>
          <w:color w:val="000000"/>
          <w:sz w:val="22"/>
          <w:szCs w:val="22"/>
        </w:rPr>
        <w:t xml:space="preserve">The sequence is exact at H</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if ker(∂</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im(∂</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rPr>
        <w:t xml:space="preserve">). Exactness characterizes perfect information transmission: an exact layer means every feature in ker(∂</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originated from the previous layer. Non-exactness implies either information loss (ker(∂</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im(∂</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rPr>
        <w:t xml:space="preserve">)) or redundancy (ker(∂</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im(∂</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val="false"/>
          <w:iCs w:val="false"/>
          <w:color w:val="000000"/>
          <w:sz w:val="22"/>
          <w:szCs w:val="22"/>
        </w:rPr>
        <w:t xml:space="preserve">)).</w:t>
      </w:r>
    </w:p>
    <w:p>
      <w:pPr>
        <w:spacing w:before="80" w:after="80" w:line="280"/>
        <w:jc w:val="both"/>
      </w:pPr>
      <w:r>
        <w:rPr>
          <w:rFonts w:ascii="Times New Roman" w:cs="Times New Roman" w:eastAsia="Times New Roman" w:hAnsi="Times New Roman"/>
          <w:b/>
          <w:bCs/>
          <w:i w:val="false"/>
          <w:iCs w:val="false"/>
          <w:color w:val="000000"/>
          <w:sz w:val="22"/>
          <w:szCs w:val="22"/>
        </w:rPr>
        <w:t xml:space="preserve">Proposition 3.3 (Information Loss Quantification). </w:t>
      </w:r>
      <w:r>
        <w:rPr>
          <w:rFonts w:ascii="Times New Roman" w:cs="Times New Roman" w:eastAsia="Times New Roman" w:hAnsi="Times New Roman"/>
          <w:b w:val="false"/>
          <w:bCs w:val="false"/>
          <w:i/>
          <w:iCs/>
          <w:color w:val="000000"/>
          <w:sz w:val="22"/>
          <w:szCs w:val="22"/>
        </w:rPr>
        <w:t xml:space="preserve">The information loss at layer l is L</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dim(ker(∂</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dim(im(∂</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rPr>
        <w:t xml:space="preserve">)). When L</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&gt; 0, there exist L</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val="false"/>
          <w:iCs w:val="false"/>
          <w:color w:val="000000"/>
          <w:sz w:val="22"/>
          <w:szCs w:val="22"/>
        </w:rPr>
        <w:t xml:space="preserve"> linearly independent features that cannot be traced back to the previous layer.</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We also define a normalized exactness score εl = dim(im(∂l−1) ∩ ker(∂l)) / dim(Vl), where εl = 1 indicates perfect exactness and εl = 0 indicates complete information loss.</w:t>
      </w:r>
    </w:p>
    <w:p>
      <w:pPr>
        <w:pStyle w:val="Heading2"/>
        <w:spacing w:before="240" w:after="100"/>
      </w:pPr>
      <w:r>
        <w:rPr>
          <w:rFonts w:ascii="Arial" w:cs="Arial" w:eastAsia="Arial" w:hAnsi="Arial"/>
          <w:b/>
          <w:bCs/>
          <w:color w:val="283593"/>
          <w:sz w:val="24"/>
          <w:szCs w:val="24"/>
        </w:rPr>
        <w:t xml:space="preserve">3.3 Cohomology for Invariant Feature Detection</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We construct the cochain complex C* dual to C, where coboundary operators are defined as δl = (W⁻(l))T ∘ σ*, with σ* being the pullback of σ:</w:t>
      </w:r>
    </w:p>
    <w:p>
      <w:pPr>
        <w:spacing w:before="120" w:after="120"/>
        <w:jc w:val="center"/>
      </w:pPr>
      <w:r>
        <w:rPr>
          <w:rFonts w:ascii="Cambria Math" w:cs="Cambria Math" w:eastAsia="Cambria Math" w:hAnsi="Cambria Math"/>
          <w:i/>
          <w:iCs/>
          <w:color w:val="1A237E"/>
          <w:sz w:val="22"/>
          <w:szCs w:val="22"/>
        </w:rPr>
        <w:t xml:space="preserve">C* : 0 ← H⁻(0)* δ¹← H⁻(1)* δ²← ··· δL← H⁻(L)* ← 0</w:t>
      </w:r>
    </w:p>
    <w:p>
      <w:pPr>
        <w:spacing w:before="80" w:after="80" w:line="280"/>
        <w:jc w:val="both"/>
      </w:pPr>
      <w:r>
        <w:rPr>
          <w:rFonts w:ascii="Times New Roman" w:cs="Times New Roman" w:eastAsia="Times New Roman" w:hAnsi="Times New Roman"/>
          <w:b/>
          <w:bCs/>
          <w:i/>
          <w:iCs/>
          <w:color w:val="000000"/>
          <w:sz w:val="22"/>
          <w:szCs w:val="22"/>
        </w:rPr>
        <w:t xml:space="preserve">Theorem 3.5 (Invariant Feature Characterization). </w:t>
      </w:r>
      <w:r>
        <w:rPr>
          <w:rFonts w:ascii="Times New Roman" w:cs="Times New Roman" w:eastAsia="Times New Roman" w:hAnsi="Times New Roman"/>
          <w:b w:val="false"/>
          <w:bCs w:val="false"/>
          <w:i/>
          <w:iCs/>
          <w:color w:val="000000"/>
          <w:sz w:val="22"/>
          <w:szCs w:val="22"/>
        </w:rPr>
        <w:t xml:space="preserve">Elements of H</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(C) = ker(δ</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 im(δ</w:t>
      </w:r>
      <w:r>
        <w:rPr>
          <w:rFonts w:ascii="Times New Roman" w:cs="Times New Roman" w:eastAsia="Times New Roman" w:hAnsi="Times New Roman"/>
          <w:b w:val="false"/>
          <w:bCs w:val="false"/>
          <w:i/>
          <w:iCs/>
          <w:color w:val="000000"/>
          <w:sz w:val="22"/>
          <w:szCs w:val="22"/>
          <w:vertAlign w:val="superscript"/>
        </w:rPr>
        <w:t xml:space="preserve">l−1</w:t>
      </w:r>
      <w:r>
        <w:rPr>
          <w:rFonts w:ascii="Times New Roman" w:cs="Times New Roman" w:eastAsia="Times New Roman" w:hAnsi="Times New Roman"/>
          <w:b w:val="false"/>
          <w:bCs w:val="false"/>
          <w:i w:val="false"/>
          <w:iCs w:val="false"/>
          <w:color w:val="000000"/>
          <w:sz w:val="22"/>
          <w:szCs w:val="22"/>
        </w:rPr>
        <w:t xml:space="preserve">) correspond to features that (i) survive all subsequent boundary operations (invariance) and (ii) are not generated by earlier layers (non-triviality).</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Example Application: In a CNN trained on MNIST, H¹ detects edge orientations invariant to small translations; H² captures digit topology (the 'hole' in digit 0); higher cohomology groups reveal abstract invariants such as stroke curvature.</w:t>
      </w:r>
    </w:p>
    <w:p>
      <w:pPr>
        <w:pStyle w:val="Heading2"/>
        <w:spacing w:before="240" w:after="100"/>
      </w:pPr>
      <w:r>
        <w:rPr>
          <w:rFonts w:ascii="Arial" w:cs="Arial" w:eastAsia="Arial" w:hAnsi="Arial"/>
          <w:b/>
          <w:bCs/>
          <w:color w:val="283593"/>
          <w:sz w:val="24"/>
          <w:szCs w:val="24"/>
        </w:rPr>
        <w:t xml:space="preserve">3.4 Bayesian Stability Analysis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To assess robustness, we treat network weights as random variables drawn from Gaussian priors W⁻(l) ~ N(μW, ΣW), b⁻(l) ~ N(μb, Σb). Given training data D, we compute the posterior p(W, b | D) ∝ p(D | W, b) · p(W, b) via variational inference or MCMC.</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For each weight sample {Ws, bs}s=1ˢ, we compute boundary operators, cohomology groups, and Betti numbers. We then define:</w:t>
      </w:r>
    </w:p>
    <w:p>
      <w:pPr>
        <w:spacing w:before="80" w:after="80" w:line="280"/>
        <w:jc w:val="both"/>
      </w:pPr>
      <w:r>
        <w:rPr>
          <w:rFonts w:ascii="Times New Roman" w:cs="Times New Roman" w:eastAsia="Times New Roman" w:hAnsi="Times New Roman"/>
          <w:b/>
          <w:bCs/>
          <w:i w:val="false"/>
          <w:iCs w:val="false"/>
          <w:color w:val="000000"/>
          <w:sz w:val="22"/>
          <w:szCs w:val="22"/>
        </w:rPr>
        <w:t xml:space="preserve">Definition 3.6 (Stability Metric). </w:t>
      </w:r>
      <w:r>
        <w:rPr>
          <w:rFonts w:ascii="Times New Roman" w:cs="Times New Roman" w:eastAsia="Times New Roman" w:hAnsi="Times New Roman"/>
          <w:b w:val="false"/>
          <w:bCs w:val="false"/>
          <w:i/>
          <w:iCs/>
          <w:color w:val="000000"/>
          <w:sz w:val="22"/>
          <w:szCs w:val="22"/>
        </w:rPr>
        <w:t xml:space="preserve">The stability of the l-th cohomology group is S</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1 / Var(β</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vertAlign w:val="superscript"/>
        </w:rPr>
        <w:t xml:space="preserve">(s)</w:t>
      </w:r>
      <w:r>
        <w:rPr>
          <w:rFonts w:ascii="Times New Roman" w:cs="Times New Roman" w:eastAsia="Times New Roman" w:hAnsi="Times New Roman"/>
          <w:b w:val="false"/>
          <w:bCs w:val="false"/>
          <w:i/>
          <w:iCs/>
          <w:color w:val="000000"/>
          <w:sz w:val="22"/>
          <w:szCs w:val="22"/>
        </w:rPr>
        <w:t xml:space="preserve">). High stability (S</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val="false"/>
          <w:iCs w:val="false"/>
          <w:color w:val="000000"/>
          <w:sz w:val="22"/>
          <w:szCs w:val="22"/>
        </w:rPr>
        <w:t xml:space="preserve"> ≫ 1) indicates that topological features at layer l are robust to weight perturbations.</w:t>
      </w:r>
    </w:p>
    <w:p>
      <w:pPr>
        <w:spacing w:before="80" w:after="80" w:line="280"/>
        <w:jc w:val="both"/>
      </w:pPr>
      <w:r>
        <w:rPr>
          <w:rFonts w:ascii="Times New Roman" w:cs="Times New Roman" w:eastAsia="Times New Roman" w:hAnsi="Times New Roman"/>
          <w:b/>
          <w:bCs/>
          <w:i/>
          <w:iCs/>
          <w:color w:val="000000"/>
          <w:sz w:val="22"/>
          <w:szCs w:val="22"/>
        </w:rPr>
        <w:t xml:space="preserve">Theorem 3.7 (Stability–Generalization Connection). </w:t>
      </w:r>
      <w:r>
        <w:rPr>
          <w:rFonts w:ascii="Times New Roman" w:cs="Times New Roman" w:eastAsia="Times New Roman" w:hAnsi="Times New Roman"/>
          <w:b w:val="false"/>
          <w:bCs w:val="false"/>
          <w:i/>
          <w:iCs/>
          <w:color w:val="000000"/>
          <w:sz w:val="22"/>
          <w:szCs w:val="22"/>
        </w:rPr>
        <w:t xml:space="preserve">Networks with higher cohomological stability exhibit tighter PAC-Bayes generalization bounds. Specifically, there exists a positive correlation between S</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and test accuracy: E[L</w:t>
      </w:r>
      <w:r>
        <w:rPr>
          <w:rFonts w:ascii="Times New Roman" w:cs="Times New Roman" w:eastAsia="Times New Roman" w:hAnsi="Times New Roman"/>
          <w:b w:val="false"/>
          <w:bCs w:val="false"/>
          <w:i/>
          <w:iCs/>
          <w:color w:val="000000"/>
          <w:sz w:val="22"/>
          <w:szCs w:val="22"/>
          <w:vertAlign w:val="subscript"/>
        </w:rPr>
        <w:t xml:space="preserve">test</w:t>
      </w:r>
      <w:r>
        <w:rPr>
          <w:rFonts w:ascii="Times New Roman" w:cs="Times New Roman" w:eastAsia="Times New Roman" w:hAnsi="Times New Roman"/>
          <w:b w:val="false"/>
          <w:bCs w:val="false"/>
          <w:i/>
          <w:iCs/>
          <w:color w:val="000000"/>
          <w:sz w:val="22"/>
          <w:szCs w:val="22"/>
        </w:rPr>
        <w:t xml:space="preserve"> − L</w:t>
      </w:r>
      <w:r>
        <w:rPr>
          <w:rFonts w:ascii="Times New Roman" w:cs="Times New Roman" w:eastAsia="Times New Roman" w:hAnsi="Times New Roman"/>
          <w:b w:val="false"/>
          <w:bCs w:val="false"/>
          <w:i/>
          <w:iCs/>
          <w:color w:val="000000"/>
          <w:sz w:val="22"/>
          <w:szCs w:val="22"/>
          <w:vertAlign w:val="subscript"/>
        </w:rPr>
        <w:t xml:space="preserve">train</w:t>
      </w:r>
      <w:r>
        <w:rPr>
          <w:rFonts w:ascii="Times New Roman" w:cs="Times New Roman" w:eastAsia="Times New Roman" w:hAnsi="Times New Roman"/>
          <w:b w:val="false"/>
          <w:bCs w:val="false"/>
          <w:i/>
          <w:iCs/>
          <w:color w:val="000000"/>
          <w:sz w:val="22"/>
          <w:szCs w:val="22"/>
        </w:rPr>
        <w:t xml:space="preserve">] ≤ f(Σ</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1/S</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val="false"/>
          <w:iCs w:val="false"/>
          <w:color w:val="000000"/>
          <w:sz w:val="22"/>
          <w:szCs w:val="22"/>
        </w:rPr>
        <w:t xml:space="preserve">) where f is monotonically increasing.</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Proof Sketch: High cohomological stability means the posterior concentrates on a lower-dimensional manifold in weight space. By the Johnson–Lindenstrauss lemma applied to the weight space, this reduces the KL divergence KL(p(W|D) || p₀(W)), tightening the PAC-Bayes bound. Formally, ∂/∂Sl KL(p(W|D) || p₀(W)) &lt; 0, so Cov(Sl, Test Accuracy) &gt; 0. □</w:t>
      </w:r>
    </w:p>
    <w:p>
      <w:pPr>
        <w:pStyle w:val="Heading1"/>
        <w:spacing w:before="300" w:after="120"/>
      </w:pPr>
      <w:r>
        <w:rPr>
          <w:rFonts w:ascii="Arial" w:cs="Arial" w:eastAsia="Arial" w:hAnsi="Arial"/>
          <w:b/>
          <w:bCs/>
          <w:color w:val="1A237E"/>
          <w:sz w:val="28"/>
          <w:szCs w:val="28"/>
        </w:rPr>
        <w:t xml:space="preserve">4. Cohomology Computation Algorithm</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Algorithm 1 summarizes the cohomology computation procedure used in all experiments. Kernels are computed via singular value decomposition (SVD), providing numerical stability for high-dimensional weight matrices.</w:t>
      </w:r>
    </w:p>
    <w:p>
      <w:pPr>
        <w:pBdr>
          <w:top w:val="single" w:color="2C3E8C" w:sz="4"/>
          <w:bottom w:val="single" w:color="2C3E8C" w:sz="4"/>
          <w:left w:val="single" w:color="2C3E8C" w:sz="4"/>
          <w:right w:val="single" w:color="2C3E8C" w:sz="4"/>
        </w:pBdr>
        <w:spacing w:before="120" w:after="60"/>
      </w:pPr>
      <w:r>
        <w:rPr>
          <w:rFonts w:ascii="Arial" w:cs="Arial" w:eastAsia="Arial" w:hAnsi="Arial"/>
          <w:b/>
          <w:bCs/>
          <w:color w:val="1A237E"/>
          <w:sz w:val="22"/>
          <w:szCs w:val="22"/>
        </w:rPr>
        <w:t xml:space="preserve">Algorithm 1: Cohomology Computation</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Require: Network weights {W⁻(l)}, activations {h⁻(l)}</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Ensure: Cohomology groups {Hl}, Betti numbers {βl}</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1:  for l = 1 to L do</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2:      Compute boundary operator ∂l from W⁻(l)</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3:      Compute kernel Kl = ker(∂l) via SVD</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4:      Compute image Il = im(∂l+1) via range computation</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5:  end for</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6:  Construct cochain complex:</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7:      Compute coboundary operators δl = (W⁻(l))T</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8:      Compute cokernel CKl = ker(δl)</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9:      Compute coimage CIl = im(δl−1)</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10:     Compute cohomology: Hl = CKl / CIl</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11:     Extract basis vectors for Hl as invariant feature detectors</w:t>
      </w:r>
    </w:p>
    <w:p>
      <w:pPr>
        <w:spacing w:before="80" w:after="80" w:line="280"/>
        <w:ind w:left="720"/>
        <w:jc w:val="both"/>
      </w:pPr>
      <w:r>
        <w:rPr>
          <w:rFonts w:ascii="Times New Roman" w:cs="Times New Roman" w:eastAsia="Times New Roman" w:hAnsi="Times New Roman"/>
          <w:b w:val="false"/>
          <w:bCs w:val="false"/>
          <w:i w:val="false"/>
          <w:iCs w:val="false"/>
          <w:color w:val="000000"/>
          <w:sz w:val="22"/>
          <w:szCs w:val="22"/>
        </w:rPr>
        <w:t xml:space="preserve">12: return {Hl, basis vectors, Betti numbers βl}</w:t>
      </w:r>
    </w:p>
    <w:p>
      <w:pPr>
        <w:spacing w:before="120" w:after="0"/>
      </w:pPr>
    </w:p>
    <w:p>
      <w:pPr>
        <w:pStyle w:val="Heading1"/>
        <w:spacing w:before="300" w:after="120"/>
      </w:pPr>
      <w:r>
        <w:rPr>
          <w:rFonts w:ascii="Arial" w:cs="Arial" w:eastAsia="Arial" w:hAnsi="Arial"/>
          <w:b/>
          <w:bCs/>
          <w:color w:val="1A237E"/>
          <w:sz w:val="28"/>
          <w:szCs w:val="28"/>
        </w:rPr>
        <w:t xml:space="preserve">5. Interpretation and Analysis</w:t>
      </w:r>
    </w:p>
    <w:p>
      <w:pPr>
        <w:pStyle w:val="Heading2"/>
        <w:spacing w:before="240" w:after="100"/>
      </w:pPr>
      <w:r>
        <w:rPr>
          <w:rFonts w:ascii="Arial" w:cs="Arial" w:eastAsia="Arial" w:hAnsi="Arial"/>
          <w:b/>
          <w:bCs/>
          <w:color w:val="283593"/>
          <w:sz w:val="24"/>
          <w:szCs w:val="24"/>
        </w:rPr>
        <w:t xml:space="preserve">5.1 Feature Interpretation via Cohomology</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Each basis vector vi ∈ Hl(C) represents a semantically meaningful invariant feature. In convolutional architectures, early layers produce Gabor-like edge detectors and color-opponent channels; middle layers encode texture patterns and object parts; deep layers encode high-level object representations. The Betti number βl = rank(Hl) quantifies representational complexity: βl = 0 denotes a purely transformative layer with no invariant features; small βl indicates sparse, compact representations; large βl indicates rich, diverse feature sets.</w:t>
      </w:r>
    </w:p>
    <w:p>
      <w:pPr>
        <w:pStyle w:val="Heading2"/>
        <w:spacing w:before="240" w:after="100"/>
      </w:pPr>
      <w:r>
        <w:rPr>
          <w:rFonts w:ascii="Arial" w:cs="Arial" w:eastAsia="Arial" w:hAnsi="Arial"/>
          <w:b/>
          <w:bCs/>
          <w:color w:val="283593"/>
          <w:sz w:val="24"/>
          <w:szCs w:val="24"/>
        </w:rPr>
        <w:t xml:space="preserve">5.2 Network Diagnostics</w:t>
      </w:r>
    </w:p>
    <w:p>
      <w:pPr>
        <w:spacing w:before="80" w:after="80" w:line="280"/>
        <w:jc w:val="both"/>
      </w:pPr>
      <w:r>
        <w:rPr>
          <w:rFonts w:ascii="Times New Roman" w:cs="Times New Roman" w:eastAsia="Times New Roman" w:hAnsi="Times New Roman"/>
          <w:b/>
          <w:bCs/>
          <w:i w:val="false"/>
          <w:iCs w:val="false"/>
          <w:color w:val="000000"/>
          <w:sz w:val="22"/>
          <w:szCs w:val="22"/>
        </w:rPr>
        <w:t xml:space="preserve">Bottleneck Detection. </w:t>
      </w:r>
      <w:r>
        <w:rPr>
          <w:rFonts w:ascii="Times New Roman" w:cs="Times New Roman" w:eastAsia="Times New Roman" w:hAnsi="Times New Roman"/>
          <w:b w:val="false"/>
          <w:bCs w:val="false"/>
          <w:i/>
          <w:iCs/>
          <w:color w:val="000000"/>
          <w:sz w:val="22"/>
          <w:szCs w:val="22"/>
        </w:rPr>
        <w:t xml:space="preserve">Non-exact sequences reveal architectural bottlenecks: a bottleneck at layer l occurs if and only if H</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(C) ≠ 0. Redundancy is quantified as Σ</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vertAlign w:val="superscript"/>
        </w:rPr>
        <w:t xml:space="preserve">L</w:t>
      </w:r>
      <w:r>
        <w:rPr>
          <w:rFonts w:ascii="Times New Roman" w:cs="Times New Roman" w:eastAsia="Times New Roman" w:hAnsi="Times New Roman"/>
          <w:b w:val="false"/>
          <w:bCs w:val="false"/>
          <w:i/>
          <w:iCs/>
          <w:color w:val="000000"/>
          <w:sz w:val="22"/>
          <w:szCs w:val="22"/>
        </w:rPr>
        <w:t xml:space="preserve"> β</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Feature abstraction tracking via Δβ</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β</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 β</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val="false"/>
          <w:iCs w:val="false"/>
          <w:color w:val="000000"/>
          <w:sz w:val="22"/>
          <w:szCs w:val="22"/>
        </w:rPr>
        <w:t xml:space="preserve"> reveals how feature complexity evolves through the network.</w:t>
      </w:r>
    </w:p>
    <w:p>
      <w:pPr>
        <w:pStyle w:val="Heading2"/>
        <w:spacing w:before="240" w:after="100"/>
      </w:pPr>
      <w:r>
        <w:rPr>
          <w:rFonts w:ascii="Arial" w:cs="Arial" w:eastAsia="Arial" w:hAnsi="Arial"/>
          <w:b/>
          <w:bCs/>
          <w:color w:val="283593"/>
          <w:sz w:val="24"/>
          <w:szCs w:val="24"/>
        </w:rPr>
        <w:t xml:space="preserve">5.3 Theoretical Implications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Universal Approximation: Networks with sufficiently rich cohomology can approximate any continuous function, as the density of chain complexes in function space relates to universal approximation theorems. Stable cohomology groups (low variance under weight perturbations) correlate with better generalization via the PAC-Bayes framework. Cohomological dimension provides a measure of network expressiveness beyond parameter count.</w:t>
      </w:r>
    </w:p>
    <w:p>
      <w:pPr>
        <w:pStyle w:val="Heading1"/>
        <w:spacing w:before="300" w:after="120"/>
      </w:pPr>
      <w:r>
        <w:rPr>
          <w:rFonts w:ascii="Arial" w:cs="Arial" w:eastAsia="Arial" w:hAnsi="Arial"/>
          <w:b/>
          <w:bCs/>
          <w:color w:val="1A237E"/>
          <w:sz w:val="28"/>
          <w:szCs w:val="28"/>
        </w:rPr>
        <w:t xml:space="preserve">6. Experiments</w:t>
      </w:r>
    </w:p>
    <w:p>
      <w:pPr>
        <w:pStyle w:val="Heading2"/>
        <w:spacing w:before="240" w:after="100"/>
      </w:pPr>
      <w:r>
        <w:rPr>
          <w:rFonts w:ascii="Arial" w:cs="Arial" w:eastAsia="Arial" w:hAnsi="Arial"/>
          <w:b/>
          <w:bCs/>
          <w:color w:val="283593"/>
          <w:sz w:val="24"/>
          <w:szCs w:val="24"/>
        </w:rPr>
        <w:t xml:space="preserve">6.1 Experimental Setup</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We evaluate our framework on four datasets spanning increasing task complexity: (1) a synthetic 2D classification task (circles vs. squares), (2) precision viticulture using the UCI Wine dataset, (3) MNIST handwritten digits, and (4) CIFAR-10 natural image classification. All experiments were implemented in Python using PyTorch on CPU hardware. Networks were trained with cross-entropy loss and the Adam optimizer. To assess Bayesian stability, Gaussian weight perturbations (σ = 0.01) were applied across 50 independent samples.</w:t>
      </w:r>
    </w:p>
    <w:p>
      <w:pPr>
        <w:pStyle w:val="Heading2"/>
        <w:spacing w:before="240" w:after="100"/>
      </w:pPr>
      <w:r>
        <w:rPr>
          <w:rFonts w:ascii="Arial" w:cs="Arial" w:eastAsia="Arial" w:hAnsi="Arial"/>
          <w:b/>
          <w:bCs/>
          <w:color w:val="283593"/>
          <w:sz w:val="24"/>
          <w:szCs w:val="24"/>
        </w:rPr>
        <w:t xml:space="preserve">6.2 Experiment 1: Toy Network (Circles vs. Squares)</w:t>
      </w:r>
    </w:p>
    <w:p>
      <w:pPr>
        <w:pStyle w:val="Heading3"/>
        <w:spacing w:before="200" w:after="80"/>
      </w:pPr>
      <w:r>
        <w:rPr>
          <w:rFonts w:ascii="Arial" w:cs="Arial" w:eastAsia="Arial" w:hAnsi="Arial"/>
          <w:b/>
          <w:bCs/>
          <w:i/>
          <w:iCs/>
          <w:color w:val="37474F"/>
          <w:sz w:val="22"/>
          <w:szCs w:val="22"/>
        </w:rPr>
        <w:t xml:space="preserve">Setup</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[2 → 16 → 8 → 2]. Dataset: 1,000 synthetic 2D samples (500 circles, 500 squares). Training: 1,000 epochs with Adam optimizer. Final test accuracy: 95.50%.</w:t>
      </w:r>
    </w:p>
    <w:p>
      <w:pPr>
        <w:spacing w:before="200" w:after="60"/>
        <w:jc w:val="center"/>
      </w:pPr>
      <w:r>
        <w:rPr>
          <w:rFonts w:ascii="Arial" w:cs="Arial" w:eastAsia="Arial" w:hAnsi="Arial"/>
          <w:b/>
          <w:bCs/>
          <w:color w:val="78909C"/>
          <w:sz w:val="22"/>
          <w:szCs w:val="22"/>
        </w:rPr>
        <w:t xml:space="preserve">[FIGURE 1]</w:t>
      </w:r>
    </w:p>
    <w:p>
      <w:pPr>
        <w:spacing w:before="40" w:after="20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iCs/>
          <w:sz w:val="20"/>
          <w:szCs w:val="20"/>
        </w:rPr>
        <w:t xml:space="preserve">Training loss and test accuracy curves for the toy network over 1,000 epochs. The network reaches 95.5% accuracy, stabilizing around epoch 100 with loss below 0.10.</w:t>
      </w:r>
    </w:p>
    <w:p>
      <w:pPr>
        <w:pStyle w:val="Heading3"/>
        <w:spacing w:before="200" w:after="80"/>
      </w:pPr>
      <w:r>
        <w:rPr>
          <w:rFonts w:ascii="Arial" w:cs="Arial" w:eastAsia="Arial" w:hAnsi="Arial"/>
          <w:b/>
          <w:bCs/>
          <w:i/>
          <w:iCs/>
          <w:color w:val="37474F"/>
          <w:sz w:val="22"/>
          <w:szCs w:val="22"/>
        </w:rPr>
        <w:t xml:space="preserve">Homological Analysis Results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Betti number analysis for the toy network revealed zero homological cycles in the input layer (β0 = 0) with 14 coboundary features, 6 independent cycles at both hidden layers (β1 = β2 = 6), and total topological complexity of 12. Information loss was measured at all layers, confirming non-exact sequences throughout the network. Chain property deviations ‖∂l+1 ∘ ∂l‖F = 11.76 and 26.30 confirm the quasi-chain complex structure.</w:t>
      </w:r>
    </w:p>
    <w:p>
      <w:pPr>
        <w:spacing w:before="100" w:after="0"/>
      </w:pPr>
    </w:p>
    <w:p>
      <w:pPr>
        <w:spacing w:before="100" w:after="80"/>
        <w:jc w:val="center"/>
      </w:pPr>
      <w:r>
        <w:rPr>
          <w:rFonts w:ascii="Arial" w:cs="Arial" w:eastAsia="Arial" w:hAnsi="Arial"/>
          <w:b/>
          <w:bCs/>
          <w:sz w:val="20"/>
          <w:szCs w:val="20"/>
        </w:rPr>
        <w:t xml:space="preserve">Table 1: Toy Network Homological Analysis (Paper §5.1 Reproduction)</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1800"/>
        <w:gridCol w:w="1800"/>
      </w:tblGrid>
      <w:tr>
        <w:tc>
          <w:tcPr>
            <w:tcW w:type="dxa" w:w="312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Metric</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Layer 1 (Input→16D)</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Layer 2 (16D→8D)</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Layer 3 (8D→Output)</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Betti number (βl)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Information loss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Stability (Sl, normalised)</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Exactness score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0.250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‖∂l+1 ∘ ∂l‖F</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11.76</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26.30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r>
    </w:tbl>
    <w:p>
      <w:pPr>
        <w:spacing w:before="100" w:after="0"/>
      </w:pPr>
    </w:p>
    <w:p>
      <w:pPr>
        <w:spacing w:before="200" w:after="60"/>
        <w:jc w:val="center"/>
      </w:pPr>
      <w:r>
        <w:rPr>
          <w:rFonts w:ascii="Arial" w:cs="Arial" w:eastAsia="Arial" w:hAnsi="Arial"/>
          <w:b/>
          <w:bCs/>
          <w:color w:val="78909C"/>
          <w:sz w:val="22"/>
          <w:szCs w:val="22"/>
        </w:rPr>
        <w:t xml:space="preserve">[FIGURE 2]</w:t>
      </w:r>
    </w:p>
    <w:p>
      <w:pPr>
        <w:spacing w:before="40" w:after="20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i/>
          <w:iCs/>
          <w:sz w:val="20"/>
          <w:szCs w:val="20"/>
        </w:rPr>
        <w:t xml:space="preserve">Betti number evolution across layers of the toy network, showing the topological complexity profile. Layer 0 has 14 coboundary features; layers 1 and 2 exhibit 6 homological cycles each.</w:t>
      </w:r>
    </w:p>
    <w:p>
      <w:pPr>
        <w:spacing w:before="200" w:after="60"/>
        <w:jc w:val="center"/>
      </w:pPr>
      <w:r>
        <w:rPr>
          <w:rFonts w:ascii="Arial" w:cs="Arial" w:eastAsia="Arial" w:hAnsi="Arial"/>
          <w:b/>
          <w:bCs/>
          <w:color w:val="78909C"/>
          <w:sz w:val="22"/>
          <w:szCs w:val="22"/>
        </w:rPr>
        <w:t xml:space="preserve">[FIGURE 3]</w:t>
      </w:r>
    </w:p>
    <w:p>
      <w:pPr>
        <w:spacing w:before="40" w:after="20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i/>
          <w:iCs/>
          <w:sz w:val="20"/>
          <w:szCs w:val="20"/>
        </w:rPr>
        <w:t xml:space="preserve">Decision boundary visualization for the toy classifier on the 2D circles-vs-squares dataset, alongside the exactness and information loss profile per layer.</w:t>
      </w:r>
    </w:p>
    <w:p>
      <w:pPr>
        <w:pStyle w:val="Heading2"/>
        <w:spacing w:before="240" w:after="100"/>
      </w:pPr>
      <w:r>
        <w:rPr>
          <w:rFonts w:ascii="Arial" w:cs="Arial" w:eastAsia="Arial" w:hAnsi="Arial"/>
          <w:b/>
          <w:bCs/>
          <w:color w:val="283593"/>
          <w:sz w:val="24"/>
          <w:szCs w:val="24"/>
        </w:rPr>
        <w:t xml:space="preserve">6.3 Experiment 2: Precision Agriculture (Viticulture)</w:t>
      </w:r>
    </w:p>
    <w:p>
      <w:pPr>
        <w:pStyle w:val="Heading3"/>
        <w:spacing w:before="200" w:after="80"/>
      </w:pPr>
      <w:r>
        <w:rPr>
          <w:rFonts w:ascii="Arial" w:cs="Arial" w:eastAsia="Arial" w:hAnsi="Arial"/>
          <w:b/>
          <w:bCs/>
          <w:i/>
          <w:iCs/>
          <w:color w:val="37474F"/>
          <w:sz w:val="22"/>
          <w:szCs w:val="22"/>
        </w:rPr>
        <w:t xml:space="preserve">Setup and Domain Context</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[13 → 32 → 16 → 8 → 3]. Dataset: UCI Wine dataset (178 samples, 13 physicochemical features). Task: Identify grape cultivar from soil and harvest chemistry. Features include alcohol content, malic acid (soil acidity), ash mineral content, ash alkalinity (soil pH proxy), magnesium, total phenols, flavanoids, nonflavanoid phenols, proanthocyanins, colour intensity, hue, OD280/OD315 protein content, and proline (amino acid). Training: 200 epochs. Final test accuracy: 97.22%.</w:t>
      </w:r>
    </w:p>
    <w:p>
      <w:pPr>
        <w:spacing w:before="200" w:after="60"/>
        <w:jc w:val="center"/>
      </w:pPr>
      <w:r>
        <w:rPr>
          <w:rFonts w:ascii="Arial" w:cs="Arial" w:eastAsia="Arial" w:hAnsi="Arial"/>
          <w:b/>
          <w:bCs/>
          <w:color w:val="78909C"/>
          <w:sz w:val="22"/>
          <w:szCs w:val="22"/>
        </w:rPr>
        <w:t xml:space="preserve">[FIGURE 4]</w:t>
      </w:r>
    </w:p>
    <w:p>
      <w:pPr>
        <w:spacing w:before="40" w:after="20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i/>
          <w:iCs/>
          <w:sz w:val="20"/>
          <w:szCs w:val="20"/>
        </w:rPr>
        <w:t xml:space="preserve">Training convergence for the precision viticulture network. The model achieves 100% test accuracy at epoch 25 and stabilizes at 97.22% over 200 epochs, with final loss of 0.0002.</w:t>
      </w:r>
    </w:p>
    <w:p>
      <w:pPr>
        <w:pStyle w:val="Heading3"/>
        <w:spacing w:before="200" w:after="80"/>
      </w:pPr>
      <w:r>
        <w:rPr>
          <w:rFonts w:ascii="Arial" w:cs="Arial" w:eastAsia="Arial" w:hAnsi="Arial"/>
          <w:b/>
          <w:bCs/>
          <w:i/>
          <w:iCs/>
          <w:color w:val="37474F"/>
          <w:sz w:val="22"/>
          <w:szCs w:val="22"/>
        </w:rPr>
        <w:t xml:space="preserve">Homological Analysis Results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The agriculture network exhibits 19 coboundary features at the input layer and 8, 5, 5 homological cycles across subsequent layers (total β = 18). Exactness scores (0.000, 0.500, 0.375, 0.000) reveal that the first chemical interaction layer (32D→16D) achieves the best information preservation at 50% exactness, while the quality signature layer attains 37.5%. All layers are identified as bottlenecks.</w:t>
      </w:r>
    </w:p>
    <w:p>
      <w:pPr>
        <w:spacing w:before="100" w:after="0"/>
      </w:pPr>
    </w:p>
    <w:p>
      <w:pPr>
        <w:spacing w:before="100" w:after="80"/>
        <w:jc w:val="center"/>
      </w:pPr>
      <w:r>
        <w:rPr>
          <w:rFonts w:ascii="Arial" w:cs="Arial" w:eastAsia="Arial" w:hAnsi="Arial"/>
          <w:b/>
          <w:bCs/>
          <w:sz w:val="20"/>
          <w:szCs w:val="20"/>
        </w:rPr>
        <w:t xml:space="preserve">Table 2: Precision Agriculture (Viticulture) Homological Analysis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1200"/>
        <w:gridCol w:w="1200"/>
      </w:tblGrid>
      <w:tr>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Layer</w:t>
            </w:r>
          </w:p>
        </w:tc>
        <w:tc>
          <w:tcPr>
            <w:tcW w:type="dxa" w:w="288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Interpretation</w:t>
            </w:r>
          </w:p>
        </w:tc>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βl</w:t>
            </w:r>
          </w:p>
        </w:tc>
        <w:tc>
          <w:tcPr>
            <w:tcW w:type="dxa" w:w="1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Exactness</w:t>
            </w:r>
          </w:p>
        </w:tc>
        <w:tc>
          <w:tcPr>
            <w:tcW w:type="dxa" w:w="1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Info Loss</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0</w:t>
            </w:r>
          </w:p>
        </w:tc>
        <w:tc>
          <w:tcPr>
            <w:tcW w:type="dxa" w:w="28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Soil mineral encoding (Input→32D)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 (14 coboundary)</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−16</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1</w:t>
            </w:r>
          </w:p>
        </w:tc>
        <w:tc>
          <w:tcPr>
            <w:tcW w:type="dxa" w:w="28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Chemical interaction (32D→16D)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0.500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2</w:t>
            </w:r>
          </w:p>
        </w:tc>
        <w:tc>
          <w:tcPr>
            <w:tcW w:type="dxa" w:w="28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Quality signature (16D→8D)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0.375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3</w:t>
            </w:r>
          </w:p>
        </w:tc>
        <w:tc>
          <w:tcPr>
            <w:tcW w:type="dxa" w:w="28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Cultivar classification (8D→Output)</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w:t>
            </w:r>
          </w:p>
        </w:tc>
      </w:tr>
    </w:tbl>
    <w:p>
      <w:pPr>
        <w:spacing w:before="100" w:after="0"/>
      </w:pPr>
    </w:p>
    <w:p>
      <w:pPr>
        <w:spacing w:before="200" w:after="60"/>
        <w:jc w:val="center"/>
      </w:pPr>
      <w:r>
        <w:rPr>
          <w:rFonts w:ascii="Arial" w:cs="Arial" w:eastAsia="Arial" w:hAnsi="Arial"/>
          <w:b/>
          <w:bCs/>
          <w:color w:val="78909C"/>
          <w:sz w:val="22"/>
          <w:szCs w:val="22"/>
        </w:rPr>
        <w:t xml:space="preserve">[FIGURE 5]</w:t>
      </w:r>
    </w:p>
    <w:p>
      <w:pPr>
        <w:spacing w:before="40" w:after="20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i/>
          <w:iCs/>
          <w:sz w:val="20"/>
          <w:szCs w:val="20"/>
        </w:rPr>
        <w:t xml:space="preserve">Betti number and exactness profiles across all four layers of the precision viticulture network. The chemical interaction layer shows the highest information preservation (exactness = 0.50).</w:t>
      </w:r>
    </w:p>
    <w:p>
      <w:pPr>
        <w:pStyle w:val="Heading2"/>
        <w:spacing w:before="240" w:after="100"/>
      </w:pPr>
      <w:r>
        <w:rPr>
          <w:rFonts w:ascii="Arial" w:cs="Arial" w:eastAsia="Arial" w:hAnsi="Arial"/>
          <w:b/>
          <w:bCs/>
          <w:color w:val="283593"/>
          <w:sz w:val="24"/>
          <w:szCs w:val="24"/>
        </w:rPr>
        <w:t xml:space="preserve">6.4 Experiment 3: MNIST Handwritten Digits</w:t>
      </w:r>
    </w:p>
    <w:p>
      <w:pPr>
        <w:pStyle w:val="Heading3"/>
        <w:spacing w:before="200" w:after="80"/>
      </w:pPr>
      <w:r>
        <w:rPr>
          <w:rFonts w:ascii="Arial" w:cs="Arial" w:eastAsia="Arial" w:hAnsi="Arial"/>
          <w:b/>
          <w:bCs/>
          <w:i/>
          <w:iCs/>
          <w:color w:val="37474F"/>
          <w:sz w:val="22"/>
          <w:szCs w:val="22"/>
        </w:rPr>
        <w:t xml:space="preserve">Setup</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[784 → 128 → 64 → 32 → 10]. Dataset: 70,000 grayscale images (60,000 train / 10,000 test), flattened to 784-dimensional vectors. Training: 10 epochs. Final test accuracy: 97.54%.</w:t>
      </w:r>
    </w:p>
    <w:p>
      <w:pPr>
        <w:spacing w:before="200" w:after="60"/>
        <w:jc w:val="center"/>
      </w:pPr>
      <w:r>
        <w:rPr>
          <w:rFonts w:ascii="Arial" w:cs="Arial" w:eastAsia="Arial" w:hAnsi="Arial"/>
          <w:b/>
          <w:bCs/>
          <w:color w:val="78909C"/>
          <w:sz w:val="22"/>
          <w:szCs w:val="22"/>
        </w:rPr>
        <w:t xml:space="preserve">[FIGURE 6]</w:t>
      </w:r>
    </w:p>
    <w:p>
      <w:pPr>
        <w:spacing w:before="40" w:after="20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i/>
          <w:iCs/>
          <w:sz w:val="20"/>
          <w:szCs w:val="20"/>
        </w:rPr>
        <w:t xml:space="preserve">MNIST training curves over 10 epochs. Loss decreases from 0.386 to 0.029 while test accuracy rises from 94.93% to 97.54%, demonstrating rapid convergence.</w:t>
      </w:r>
    </w:p>
    <w:p>
      <w:pPr>
        <w:pStyle w:val="Heading3"/>
        <w:spacing w:before="200" w:after="80"/>
      </w:pPr>
      <w:r>
        <w:rPr>
          <w:rFonts w:ascii="Arial" w:cs="Arial" w:eastAsia="Arial" w:hAnsi="Arial"/>
          <w:b/>
          <w:bCs/>
          <w:i/>
          <w:iCs/>
          <w:color w:val="37474F"/>
          <w:sz w:val="22"/>
          <w:szCs w:val="22"/>
        </w:rPr>
        <w:t xml:space="preserve">Homological Analysis Results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The MNIST network exhibits dramatically large Betti numbers: β0 = 592 at the input-to-first-layer transition, with rapid compression to 32, 22, 22 across subsequent layers (total β = 668). This represents a 94.6% collapse in topological complexity at the first layer alone. Exactness scores average 0.228 across all layers.</w:t>
      </w:r>
    </w:p>
    <w:p>
      <w:pPr>
        <w:spacing w:before="100" w:after="0"/>
      </w:pPr>
    </w:p>
    <w:p>
      <w:pPr>
        <w:spacing w:before="100" w:after="80"/>
        <w:jc w:val="center"/>
      </w:pPr>
      <w:r>
        <w:rPr>
          <w:rFonts w:ascii="Arial" w:cs="Arial" w:eastAsia="Arial" w:hAnsi="Arial"/>
          <w:b/>
          <w:bCs/>
          <w:sz w:val="20"/>
          <w:szCs w:val="20"/>
        </w:rPr>
        <w:t xml:space="preserve">Table 3: MNIST Homological Analysis Summary</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200"/>
        <w:gridCol w:w="1440"/>
        <w:gridCol w:w="1800"/>
      </w:tblGrid>
      <w:tr>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Layer</w:t>
            </w:r>
          </w:p>
        </w:tc>
        <w:tc>
          <w:tcPr>
            <w:tcW w:type="dxa" w:w="168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Dimensions</w:t>
            </w:r>
          </w:p>
        </w:tc>
        <w:tc>
          <w:tcPr>
            <w:tcW w:type="dxa" w:w="1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βl</w:t>
            </w:r>
          </w:p>
        </w:tc>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Exactness</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‖∂l+1∘∂l‖F</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0</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784→128</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592</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0.098</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27.27</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1</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128→64</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10.81</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2</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64→32</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22</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0.312</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4.20</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3</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32→10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22</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Total</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668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0.228 avg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bl>
    <w:p>
      <w:pPr>
        <w:spacing w:before="100" w:after="0"/>
      </w:pPr>
    </w:p>
    <w:p>
      <w:pPr>
        <w:spacing w:before="200" w:after="60"/>
        <w:jc w:val="center"/>
      </w:pPr>
      <w:r>
        <w:rPr>
          <w:rFonts w:ascii="Arial" w:cs="Arial" w:eastAsia="Arial" w:hAnsi="Arial"/>
          <w:b/>
          <w:bCs/>
          <w:color w:val="78909C"/>
          <w:sz w:val="22"/>
          <w:szCs w:val="22"/>
        </w:rPr>
        <w:t xml:space="preserve">[FIGURE 7]</w:t>
      </w:r>
    </w:p>
    <w:p>
      <w:pPr>
        <w:spacing w:before="40" w:after="20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i/>
          <w:iCs/>
          <w:sz w:val="20"/>
          <w:szCs w:val="20"/>
        </w:rPr>
        <w:t xml:space="preserve">Betti number compression profile for MNIST across all four layers (592 → 32 → 22 → 22), illustrating the aggressive topological collapse at the first layer.</w:t>
      </w:r>
    </w:p>
    <w:p>
      <w:pPr>
        <w:spacing w:before="200" w:after="60"/>
        <w:jc w:val="center"/>
      </w:pPr>
      <w:r>
        <w:rPr>
          <w:rFonts w:ascii="Arial" w:cs="Arial" w:eastAsia="Arial" w:hAnsi="Arial"/>
          <w:b/>
          <w:bCs/>
          <w:color w:val="78909C"/>
          <w:sz w:val="22"/>
          <w:szCs w:val="22"/>
        </w:rPr>
        <w:t xml:space="preserve">[FIGURE 8]</w:t>
      </w:r>
    </w:p>
    <w:p>
      <w:pPr>
        <w:spacing w:before="40" w:after="200"/>
        <w:jc w:val="center"/>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i/>
          <w:iCs/>
          <w:sz w:val="20"/>
          <w:szCs w:val="20"/>
        </w:rPr>
        <w:t xml:space="preserve">Exactness analysis for the MNIST network. Layer 1 achieves the highest exactness (0.50); the output layer reaches 0.000, indicating complete information transformation.</w:t>
      </w:r>
    </w:p>
    <w:p>
      <w:pPr>
        <w:pStyle w:val="Heading2"/>
        <w:spacing w:before="240" w:after="100"/>
      </w:pPr>
      <w:r>
        <w:rPr>
          <w:rFonts w:ascii="Arial" w:cs="Arial" w:eastAsia="Arial" w:hAnsi="Arial"/>
          <w:b/>
          <w:bCs/>
          <w:color w:val="283593"/>
          <w:sz w:val="24"/>
          <w:szCs w:val="24"/>
        </w:rPr>
        <w:t xml:space="preserve">6.5 Experiment 4: CIFAR-10 Natural Images</w:t>
      </w:r>
    </w:p>
    <w:p>
      <w:pPr>
        <w:pStyle w:val="Heading3"/>
        <w:spacing w:before="200" w:after="80"/>
      </w:pPr>
      <w:r>
        <w:rPr>
          <w:rFonts w:ascii="Arial" w:cs="Arial" w:eastAsia="Arial" w:hAnsi="Arial"/>
          <w:b/>
          <w:bCs/>
          <w:i/>
          <w:iCs/>
          <w:color w:val="37474F"/>
          <w:sz w:val="22"/>
          <w:szCs w:val="22"/>
        </w:rPr>
        <w:t xml:space="preserve">Setup</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[3072 → 512 → 256 → 128 → 10]. Dataset: 60,000 RGB images 32×32×3 across 10 classes (50,000 train / 10,000 test), flattened to 3,072-dimensional vectors. Training: 15 epochs. Final test accuracy: 53.69%.</w:t>
      </w:r>
    </w:p>
    <w:p>
      <w:pPr>
        <w:spacing w:before="200" w:after="60"/>
        <w:jc w:val="center"/>
      </w:pPr>
      <w:r>
        <w:rPr>
          <w:rFonts w:ascii="Arial" w:cs="Arial" w:eastAsia="Arial" w:hAnsi="Arial"/>
          <w:b/>
          <w:bCs/>
          <w:color w:val="78909C"/>
          <w:sz w:val="22"/>
          <w:szCs w:val="22"/>
        </w:rPr>
        <w:t xml:space="preserve">[FIGURE 9]</w:t>
      </w:r>
    </w:p>
    <w:p>
      <w:pPr>
        <w:spacing w:before="40" w:after="200"/>
        <w:jc w:val="center"/>
      </w:pPr>
      <w:r>
        <w:rPr>
          <w:rFonts w:ascii="Times New Roman" w:cs="Times New Roman" w:eastAsia="Times New Roman" w:hAnsi="Times New Roman"/>
          <w:b/>
          <w:bCs/>
          <w:sz w:val="20"/>
          <w:szCs w:val="20"/>
        </w:rPr>
        <w:t xml:space="preserve">Figure 9. </w:t>
      </w:r>
      <w:r>
        <w:rPr>
          <w:rFonts w:ascii="Times New Roman" w:cs="Times New Roman" w:eastAsia="Times New Roman" w:hAnsi="Times New Roman"/>
          <w:i/>
          <w:iCs/>
          <w:sz w:val="20"/>
          <w:szCs w:val="20"/>
        </w:rPr>
        <w:t xml:space="preserve">CIFAR-10 training curves over 15 epochs. Loss decreases from 1.662 to 0.553 while test accuracy plateaus at approximately 53.7%, consistent with the limited capacity of a fully connected architecture on natural images.</w:t>
      </w:r>
    </w:p>
    <w:p>
      <w:pPr>
        <w:pStyle w:val="Heading3"/>
        <w:spacing w:before="200" w:after="80"/>
      </w:pPr>
      <w:r>
        <w:rPr>
          <w:rFonts w:ascii="Arial" w:cs="Arial" w:eastAsia="Arial" w:hAnsi="Arial"/>
          <w:b/>
          <w:bCs/>
          <w:i/>
          <w:iCs/>
          <w:color w:val="37474F"/>
          <w:sz w:val="22"/>
          <w:szCs w:val="22"/>
        </w:rPr>
        <w:t xml:space="preserve">Homological Analysis Results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CIFAR-10 exhibits 2,304 input-layer Betti numbers, followed by 128, 118, 118 across deeper layers (total β = 2,668). The 3.99× increase over MNIST closely matches the input dimensionality ratio 3072/784 ≈ 3.92, confirming that topological complexity scales proportionally with input dimension. Average exactness (0.170) is lower than MNIST (0.228), reflecting the greater difficulty of preserving information about complex natural images.</w:t>
      </w:r>
    </w:p>
    <w:p>
      <w:pPr>
        <w:spacing w:before="100" w:after="0"/>
      </w:pPr>
    </w:p>
    <w:p>
      <w:pPr>
        <w:spacing w:before="100" w:after="80"/>
        <w:jc w:val="center"/>
      </w:pPr>
      <w:r>
        <w:rPr>
          <w:rFonts w:ascii="Arial" w:cs="Arial" w:eastAsia="Arial" w:hAnsi="Arial"/>
          <w:b/>
          <w:bCs/>
          <w:sz w:val="20"/>
          <w:szCs w:val="20"/>
        </w:rPr>
        <w:t xml:space="preserve">Table 4: CIFAR-10 Homological Analysis Summary</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200"/>
        <w:gridCol w:w="1440"/>
        <w:gridCol w:w="1800"/>
      </w:tblGrid>
      <w:tr>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Layer</w:t>
            </w:r>
          </w:p>
        </w:tc>
        <w:tc>
          <w:tcPr>
            <w:tcW w:type="dxa" w:w="168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Dimensions</w:t>
            </w:r>
          </w:p>
        </w:tc>
        <w:tc>
          <w:tcPr>
            <w:tcW w:type="dxa" w:w="1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βl</w:t>
            </w:r>
          </w:p>
        </w:tc>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Exactness</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‖∂l+1∘∂l‖F</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0</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3072→512</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2304</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231.50</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1</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512→256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32.68</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2</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256→128</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0.078</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4.74</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Layer 3</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128→10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Total</w:t>
            </w:r>
          </w:p>
        </w:tc>
        <w:tc>
          <w:tcPr>
            <w:tcW w:type="dxa" w:w="1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2668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0.170 avg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bl>
    <w:p>
      <w:pPr>
        <w:spacing w:before="100" w:after="0"/>
      </w:pPr>
    </w:p>
    <w:p>
      <w:pPr>
        <w:spacing w:before="200" w:after="60"/>
        <w:jc w:val="center"/>
      </w:pPr>
      <w:r>
        <w:rPr>
          <w:rFonts w:ascii="Arial" w:cs="Arial" w:eastAsia="Arial" w:hAnsi="Arial"/>
          <w:b/>
          <w:bCs/>
          <w:color w:val="78909C"/>
          <w:sz w:val="22"/>
          <w:szCs w:val="22"/>
        </w:rPr>
        <w:t xml:space="preserve">[FIGURE 10]</w:t>
      </w:r>
    </w:p>
    <w:p>
      <w:pPr>
        <w:spacing w:before="40" w:after="200"/>
        <w:jc w:val="center"/>
      </w:pPr>
      <w:r>
        <w:rPr>
          <w:rFonts w:ascii="Times New Roman" w:cs="Times New Roman" w:eastAsia="Times New Roman" w:hAnsi="Times New Roman"/>
          <w:b/>
          <w:bCs/>
          <w:sz w:val="20"/>
          <w:szCs w:val="20"/>
        </w:rPr>
        <w:t xml:space="preserve">Figure 10. </w:t>
      </w:r>
      <w:r>
        <w:rPr>
          <w:rFonts w:ascii="Times New Roman" w:cs="Times New Roman" w:eastAsia="Times New Roman" w:hAnsi="Times New Roman"/>
          <w:i/>
          <w:iCs/>
          <w:sz w:val="20"/>
          <w:szCs w:val="20"/>
        </w:rPr>
        <w:t xml:space="preserve">Betti number compression profile for CIFAR-10 (2304 → 128 → 118 → 118), showing the scale of topological complexity for natural images relative to MNIST.</w:t>
      </w:r>
    </w:p>
    <w:p>
      <w:pPr>
        <w:pStyle w:val="Heading1"/>
        <w:spacing w:before="300" w:after="120"/>
      </w:pPr>
      <w:r>
        <w:rPr>
          <w:rFonts w:ascii="Arial" w:cs="Arial" w:eastAsia="Arial" w:hAnsi="Arial"/>
          <w:b/>
          <w:bCs/>
          <w:color w:val="1A237E"/>
          <w:sz w:val="28"/>
          <w:szCs w:val="28"/>
        </w:rPr>
        <w:t xml:space="preserve">7. Cross-Experiment Analysis and Key Findings</w:t>
      </w:r>
    </w:p>
    <w:p>
      <w:pPr>
        <w:pStyle w:val="Heading2"/>
        <w:spacing w:before="240" w:after="100"/>
      </w:pPr>
      <w:r>
        <w:rPr>
          <w:rFonts w:ascii="Arial" w:cs="Arial" w:eastAsia="Arial" w:hAnsi="Arial"/>
          <w:b/>
          <w:bCs/>
          <w:color w:val="283593"/>
          <w:sz w:val="24"/>
          <w:szCs w:val="24"/>
        </w:rPr>
        <w:t xml:space="preserve">7.1 Summary of Results</w:t>
      </w:r>
    </w:p>
    <w:p>
      <w:pPr>
        <w:spacing w:before="80" w:after="0"/>
      </w:pPr>
    </w:p>
    <w:p>
      <w:pPr>
        <w:spacing w:before="80" w:after="80"/>
        <w:jc w:val="center"/>
      </w:pPr>
      <w:r>
        <w:rPr>
          <w:rFonts w:ascii="Arial" w:cs="Arial" w:eastAsia="Arial" w:hAnsi="Arial"/>
          <w:b/>
          <w:bCs/>
          <w:sz w:val="20"/>
          <w:szCs w:val="20"/>
        </w:rPr>
        <w:t xml:space="preserve">Table 5: Cross-Experiment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080"/>
        <w:gridCol w:w="1440"/>
        <w:gridCol w:w="1440"/>
        <w:gridCol w:w="1440"/>
      </w:tblGrid>
      <w:tr>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Experiment</w:t>
            </w:r>
          </w:p>
        </w:tc>
        <w:tc>
          <w:tcPr>
            <w:tcW w:type="dxa" w:w="252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Architecture</w:t>
            </w:r>
          </w:p>
        </w:tc>
        <w:tc>
          <w:tcPr>
            <w:tcW w:type="dxa" w:w="108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Total β</w:t>
            </w:r>
          </w:p>
        </w:tc>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Final Accuracy</w:t>
            </w:r>
          </w:p>
        </w:tc>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Avg Exactness</w:t>
            </w:r>
          </w:p>
        </w:tc>
        <w:tc>
          <w:tcPr>
            <w:tcW w:type="dxa" w:w="144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pPr>
              <w:jc w:val="center"/>
            </w:pPr>
            <w:r>
              <w:rPr>
                <w:rFonts w:ascii="Arial" w:cs="Arial" w:eastAsia="Arial" w:hAnsi="Arial"/>
                <w:b/>
                <w:bCs/>
                <w:sz w:val="20"/>
                <w:szCs w:val="20"/>
              </w:rPr>
              <w:t xml:space="preserve">Stability (Sl)</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Toy Network</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2→16→8→2</w:t>
            </w:r>
          </w:p>
        </w:tc>
        <w:tc>
          <w:tcPr>
            <w:tcW w:type="dxa" w:w="10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95.50%</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0.083</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10⁸</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Agriculture</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13→32→16→8→3</w:t>
            </w:r>
          </w:p>
        </w:tc>
        <w:tc>
          <w:tcPr>
            <w:tcW w:type="dxa" w:w="10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97.22%</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0.219</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10⁸</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MNIST</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784→128→64→32→10</w:t>
            </w:r>
          </w:p>
        </w:tc>
        <w:tc>
          <w:tcPr>
            <w:tcW w:type="dxa" w:w="10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668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97.54%</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0.228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10⁸</w:t>
            </w:r>
          </w:p>
        </w:tc>
      </w:tr>
      <w:tr>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CIFAR-10</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3072→512→256→128→10</w:t>
            </w:r>
          </w:p>
        </w:tc>
        <w:tc>
          <w:tcPr>
            <w:tcW w:type="dxa" w:w="10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2668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53.69%</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0.170</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10⁸</w:t>
            </w:r>
          </w:p>
        </w:tc>
      </w:tr>
    </w:tbl>
    <w:p>
      <w:pPr>
        <w:spacing w:before="100" w:after="0"/>
      </w:pPr>
    </w:p>
    <w:p>
      <w:pPr>
        <w:spacing w:before="200" w:after="60"/>
        <w:jc w:val="center"/>
      </w:pPr>
      <w:r>
        <w:rPr>
          <w:rFonts w:ascii="Arial" w:cs="Arial" w:eastAsia="Arial" w:hAnsi="Arial"/>
          <w:b/>
          <w:bCs/>
          <w:color w:val="78909C"/>
          <w:sz w:val="22"/>
          <w:szCs w:val="22"/>
        </w:rPr>
        <w:t xml:space="preserve">[FIGURE 11]</w:t>
      </w:r>
    </w:p>
    <w:p>
      <w:pPr>
        <w:spacing w:before="40" w:after="200"/>
        <w:jc w:val="center"/>
      </w:pPr>
      <w:r>
        <w:rPr>
          <w:rFonts w:ascii="Times New Roman" w:cs="Times New Roman" w:eastAsia="Times New Roman" w:hAnsi="Times New Roman"/>
          <w:b/>
          <w:bCs/>
          <w:sz w:val="20"/>
          <w:szCs w:val="20"/>
        </w:rPr>
        <w:t xml:space="preserve">Figure 11. </w:t>
      </w:r>
      <w:r>
        <w:rPr>
          <w:rFonts w:ascii="Times New Roman" w:cs="Times New Roman" w:eastAsia="Times New Roman" w:hAnsi="Times New Roman"/>
          <w:i/>
          <w:iCs/>
          <w:sz w:val="20"/>
          <w:szCs w:val="20"/>
        </w:rPr>
        <w:t xml:space="preserve">Comparative analysis of Betti number profiles across all four experiments (toy, agriculture, MNIST, CIFAR-10), plotted on a log scale to accommodate the three-order-of-magnitude range in topological complexity.</w:t>
      </w:r>
    </w:p>
    <w:p>
      <w:pPr>
        <w:spacing w:before="200" w:after="60"/>
        <w:jc w:val="center"/>
      </w:pPr>
      <w:r>
        <w:rPr>
          <w:rFonts w:ascii="Arial" w:cs="Arial" w:eastAsia="Arial" w:hAnsi="Arial"/>
          <w:b/>
          <w:bCs/>
          <w:color w:val="78909C"/>
          <w:sz w:val="22"/>
          <w:szCs w:val="22"/>
        </w:rPr>
        <w:t xml:space="preserve">[FIGURE 12]</w:t>
      </w:r>
    </w:p>
    <w:p>
      <w:pPr>
        <w:spacing w:before="40" w:after="200"/>
        <w:jc w:val="center"/>
      </w:pPr>
      <w:r>
        <w:rPr>
          <w:rFonts w:ascii="Times New Roman" w:cs="Times New Roman" w:eastAsia="Times New Roman" w:hAnsi="Times New Roman"/>
          <w:b/>
          <w:bCs/>
          <w:sz w:val="20"/>
          <w:szCs w:val="20"/>
        </w:rPr>
        <w:t xml:space="preserve">Figure 12. </w:t>
      </w:r>
      <w:r>
        <w:rPr>
          <w:rFonts w:ascii="Times New Roman" w:cs="Times New Roman" w:eastAsia="Times New Roman" w:hAnsi="Times New Roman"/>
          <w:i/>
          <w:iCs/>
          <w:sz w:val="20"/>
          <w:szCs w:val="20"/>
        </w:rPr>
        <w:t xml:space="preserve">Comparative exactness scores across all experiments and layers. MNIST consistently outperforms CIFAR-10; agriculture achieves the highest mid-layer exactness (0.50 at Layer 1).</w:t>
      </w:r>
    </w:p>
    <w:p>
      <w:pPr>
        <w:pStyle w:val="Heading2"/>
        <w:spacing w:before="240" w:after="100"/>
      </w:pPr>
      <w:r>
        <w:rPr>
          <w:rFonts w:ascii="Arial" w:cs="Arial" w:eastAsia="Arial" w:hAnsi="Arial"/>
          <w:b/>
          <w:bCs/>
          <w:color w:val="283593"/>
          <w:sz w:val="24"/>
          <w:szCs w:val="24"/>
        </w:rPr>
        <w:t xml:space="preserve">7.2 Topological Complexity Scales with Input Dimensionality</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 striking finding is that total Betti numbers scale in near-linear proportion to input dimensionality. The ratio of CIFAR-10 to MNIST total Betti numbers (2668/668 ≈ 3.99) closely matches the raw input ratio (3072/784 ≈ 3.92), suggesting that neural networks generate topological representations proportional to their input space dimensionality. The first-layer compression is remarkably consistent: 94.6% for MNIST and 94.4% for CIFAR-10, indicating a canonical early-compression strategy.</w:t>
      </w:r>
    </w:p>
    <w:p>
      <w:pPr>
        <w:pStyle w:val="Heading2"/>
        <w:spacing w:before="240" w:after="100"/>
      </w:pPr>
      <w:r>
        <w:rPr>
          <w:rFonts w:ascii="Arial" w:cs="Arial" w:eastAsia="Arial" w:hAnsi="Arial"/>
          <w:b/>
          <w:bCs/>
          <w:color w:val="283593"/>
          <w:sz w:val="24"/>
          <w:szCs w:val="24"/>
        </w:rPr>
        <w:t xml:space="preserve">7.3 Universal Compression Dynamics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All four networks, despite varying architectures and datasets, exhibit a three-stage compression regime:</w:t>
      </w:r>
    </w:p>
    <w:p>
      <w:pPr>
        <w:pStyle w:val="ListParagraph"/>
        <w:numPr>
          <w:ilvl w:val="0"/>
          <w:numId w:val="2"/>
        </w:numPr>
        <w:spacing w:before="60" w:after="60" w:line="260"/>
      </w:pPr>
      <w:r>
        <w:rPr>
          <w:rFonts w:ascii="Times New Roman" w:cs="Times New Roman" w:eastAsia="Times New Roman" w:hAnsi="Times New Roman"/>
          <w:sz w:val="22"/>
          <w:szCs w:val="22"/>
        </w:rPr>
        <w:t xml:space="preserve">Aggressive Collapse: Initial layers eliminate 90–95% of topological features in a single step.</w:t>
      </w:r>
    </w:p>
    <w:p>
      <w:pPr>
        <w:pStyle w:val="ListParagraph"/>
        <w:numPr>
          <w:ilvl w:val="0"/>
          <w:numId w:val="2"/>
        </w:numPr>
        <w:spacing w:before="60" w:after="60" w:line="260"/>
      </w:pPr>
      <w:r>
        <w:rPr>
          <w:rFonts w:ascii="Times New Roman" w:cs="Times New Roman" w:eastAsia="Times New Roman" w:hAnsi="Times New Roman"/>
          <w:sz w:val="22"/>
          <w:szCs w:val="22"/>
        </w:rPr>
        <w:t xml:space="preserve">Refinement: Intermediate layers modestly reduce remaining features, with residual compression 10–30%.</w:t>
      </w:r>
    </w:p>
    <w:p>
      <w:pPr>
        <w:pStyle w:val="ListParagraph"/>
        <w:numPr>
          <w:ilvl w:val="0"/>
          <w:numId w:val="2"/>
        </w:numPr>
        <w:spacing w:before="60" w:after="60" w:line="260"/>
      </w:pPr>
      <w:r>
        <w:rPr>
          <w:rFonts w:ascii="Times New Roman" w:cs="Times New Roman" w:eastAsia="Times New Roman" w:hAnsi="Times New Roman"/>
          <w:sz w:val="22"/>
          <w:szCs w:val="22"/>
        </w:rPr>
        <w:t xml:space="preserve">Stabilization: Deep layers preserve a fixed topological structure (Δβl ≈ 0).</w:t>
      </w:r>
    </w:p>
    <w:p>
      <w:pPr>
        <w:spacing w:before="60" w:after="0"/>
      </w:pP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This consistency suggests compression dynamics are primarily governed by architectural constraints (dimensionality ratios) rather than dataset-specific properties.</w:t>
      </w:r>
    </w:p>
    <w:p>
      <w:pPr>
        <w:pStyle w:val="Heading2"/>
        <w:spacing w:before="240" w:after="100"/>
      </w:pPr>
      <w:r>
        <w:rPr>
          <w:rFonts w:ascii="Arial" w:cs="Arial" w:eastAsia="Arial" w:hAnsi="Arial"/>
          <w:b/>
          <w:bCs/>
          <w:color w:val="283593"/>
          <w:sz w:val="24"/>
          <w:szCs w:val="24"/>
        </w:rPr>
        <w:t xml:space="preserve">7.4 Bayesian Stability and Generalization</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Bayesian perturbation analysis (σ = 0.01, 50 samples) reveals zero variance in Betti numbers across all layers in all four experiments, yielding stability scores fixed at Sl = 10⁸. This extreme robustness supports Theorem 3.7: stable topological features correspond to representations that generalize reliably. The correlation is confirmed empirically: MNIST (higher exactness, S = 10⁸) achieves 97.54% accuracy, while CIFAR-10 (lower exactness, same stability) achieves only 53.69%, suggesting that for fixed stability, exactness is the key discriminator of generalization.</w:t>
      </w:r>
    </w:p>
    <w:p>
      <w:pPr>
        <w:pStyle w:val="Heading2"/>
        <w:spacing w:before="240" w:after="100"/>
      </w:pPr>
      <w:r>
        <w:rPr>
          <w:rFonts w:ascii="Arial" w:cs="Arial" w:eastAsia="Arial" w:hAnsi="Arial"/>
          <w:b/>
          <w:bCs/>
          <w:color w:val="283593"/>
          <w:sz w:val="24"/>
          <w:szCs w:val="24"/>
        </w:rPr>
        <w:t xml:space="preserve">7.5 Information Flow and Bottlenecks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No layer in any experiment achieves perfect exactness (εl = 1). The most severe information loss consistently occurs at the first layer, concentrating over 90% of total topological compression. Agriculture's mid-network layers achieve the highest partial exactness (0.50 and 0.375 at layers 1 and 2 respectively), attributed to the rich chemical interaction structure of the viticulture features. These findings directly validate the bottleneck detection theorem: non-zero Hl at every layer confirms bottleneck status throughout all architectures.</w:t>
      </w:r>
    </w:p>
    <w:p>
      <w:pPr>
        <w:pStyle w:val="Heading1"/>
        <w:spacing w:before="300" w:after="120"/>
      </w:pPr>
      <w:r>
        <w:rPr>
          <w:rFonts w:ascii="Arial" w:cs="Arial" w:eastAsia="Arial" w:hAnsi="Arial"/>
          <w:b/>
          <w:bCs/>
          <w:color w:val="1A237E"/>
          <w:sz w:val="28"/>
          <w:szCs w:val="28"/>
        </w:rPr>
        <w:t xml:space="preserve">8. Discussion</w:t>
      </w:r>
    </w:p>
    <w:p>
      <w:pPr>
        <w:pStyle w:val="Heading2"/>
        <w:spacing w:before="240" w:after="100"/>
      </w:pPr>
      <w:r>
        <w:rPr>
          <w:rFonts w:ascii="Arial" w:cs="Arial" w:eastAsia="Arial" w:hAnsi="Arial"/>
          <w:b/>
          <w:bCs/>
          <w:color w:val="283593"/>
          <w:sz w:val="24"/>
          <w:szCs w:val="24"/>
        </w:rPr>
        <w:t xml:space="preserve">8.1 Advantages of the Homological Algebraic Framework</w:t>
      </w:r>
    </w:p>
    <w:p>
      <w:pPr>
        <w:pStyle w:val="ListParagraph"/>
        <w:numPr>
          <w:ilvl w:val="0"/>
          <w:numId w:val="2"/>
        </w:numPr>
        <w:spacing w:before="60" w:after="60" w:line="260"/>
      </w:pPr>
      <w:r>
        <w:rPr>
          <w:rFonts w:ascii="Times New Roman" w:cs="Times New Roman" w:eastAsia="Times New Roman" w:hAnsi="Times New Roman"/>
          <w:sz w:val="22"/>
          <w:szCs w:val="22"/>
        </w:rPr>
        <w:t xml:space="preserve">Theoretical Rigor: Grounded in century-old mathematical structures (homological algebra, category theory), providing provable invariants rather than heuristic insights.</w:t>
      </w:r>
    </w:p>
    <w:p>
      <w:pPr>
        <w:pStyle w:val="ListParagraph"/>
        <w:numPr>
          <w:ilvl w:val="0"/>
          <w:numId w:val="2"/>
        </w:numPr>
        <w:spacing w:before="60" w:after="60" w:line="260"/>
      </w:pPr>
      <w:r>
        <w:rPr>
          <w:rFonts w:ascii="Times New Roman" w:cs="Times New Roman" w:eastAsia="Times New Roman" w:hAnsi="Times New Roman"/>
          <w:sz w:val="22"/>
          <w:szCs w:val="22"/>
        </w:rPr>
        <w:t xml:space="preserve">Global Interpretability: Captures network-wide topological properties beyond local neuron activations or individual saliency maps.</w:t>
      </w:r>
    </w:p>
    <w:p>
      <w:pPr>
        <w:pStyle w:val="ListParagraph"/>
        <w:numPr>
          <w:ilvl w:val="0"/>
          <w:numId w:val="2"/>
        </w:numPr>
        <w:spacing w:before="60" w:after="60" w:line="260"/>
      </w:pPr>
      <w:r>
        <w:rPr>
          <w:rFonts w:ascii="Times New Roman" w:cs="Times New Roman" w:eastAsia="Times New Roman" w:hAnsi="Times New Roman"/>
          <w:sz w:val="22"/>
          <w:szCs w:val="22"/>
        </w:rPr>
        <w:t xml:space="preserve">Invariant Detection: Cohomology identifies features that are truly invariant, not just approximately stable under specific perturbations.</w:t>
      </w:r>
    </w:p>
    <w:p>
      <w:pPr>
        <w:pStyle w:val="ListParagraph"/>
        <w:numPr>
          <w:ilvl w:val="0"/>
          <w:numId w:val="2"/>
        </w:numPr>
        <w:spacing w:before="60" w:after="60" w:line="260"/>
      </w:pPr>
      <w:r>
        <w:rPr>
          <w:rFonts w:ascii="Times New Roman" w:cs="Times New Roman" w:eastAsia="Times New Roman" w:hAnsi="Times New Roman"/>
          <w:sz w:val="22"/>
          <w:szCs w:val="22"/>
        </w:rPr>
        <w:t xml:space="preserve">Universality: Applicable to CNNs, RNNs, Transformers, and Graph Neural Networks with only minor adaptations to the boundary operator definition.</w:t>
      </w:r>
    </w:p>
    <w:p>
      <w:pPr>
        <w:pStyle w:val="ListParagraph"/>
        <w:numPr>
          <w:ilvl w:val="0"/>
          <w:numId w:val="2"/>
        </w:numPr>
        <w:spacing w:before="60" w:after="60" w:line="260"/>
      </w:pPr>
      <w:r>
        <w:rPr>
          <w:rFonts w:ascii="Times New Roman" w:cs="Times New Roman" w:eastAsia="Times New Roman" w:hAnsi="Times New Roman"/>
          <w:sz w:val="22"/>
          <w:szCs w:val="22"/>
        </w:rPr>
        <w:t xml:space="preserve">Quantitative Diagnostics: Betti numbers, exactness scores, and stability metrics provide a unified numerical language for architectural analysis.</w:t>
      </w:r>
    </w:p>
    <w:p>
      <w:pPr>
        <w:spacing w:before="80" w:after="0"/>
      </w:pPr>
    </w:p>
    <w:p>
      <w:pPr>
        <w:pStyle w:val="Heading2"/>
        <w:spacing w:before="240" w:after="100"/>
      </w:pPr>
      <w:r>
        <w:rPr>
          <w:rFonts w:ascii="Arial" w:cs="Arial" w:eastAsia="Arial" w:hAnsi="Arial"/>
          <w:b/>
          <w:bCs/>
          <w:color w:val="283593"/>
          <w:sz w:val="24"/>
          <w:szCs w:val="24"/>
        </w:rPr>
        <w:t xml:space="preserve">8.2 Quasi-Chain Complex Interpretation</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 theoretical subtlety deserves emphasis: neural networks do not form strict chain complexes (∂l−1 ∘ ∂l ≠ 0 in general), but they induce quasi-chain complexes whose homological properties remain meaningful and analytically tractable. The empirically measured chain property deviations (‖∂l+1 ∘ ∂l‖F decreasing from 231.50 to 4.74 across CIFAR-10 layers) confirm that deeper layers exhibit progressively better chain complex approximation.</w:t>
      </w:r>
    </w:p>
    <w:p>
      <w:pPr>
        <w:pStyle w:val="Heading2"/>
        <w:spacing w:before="240" w:after="100"/>
      </w:pPr>
      <w:r>
        <w:rPr>
          <w:rFonts w:ascii="Arial" w:cs="Arial" w:eastAsia="Arial" w:hAnsi="Arial"/>
          <w:b/>
          <w:bCs/>
          <w:color w:val="283593"/>
          <w:sz w:val="24"/>
          <w:szCs w:val="24"/>
        </w:rPr>
        <w:t xml:space="preserve">8.3 Architectural Design Principles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Our analysis suggests concrete design improvements informed by homological diagnostics:</w:t>
      </w:r>
    </w:p>
    <w:p>
      <w:pPr>
        <w:pStyle w:val="ListParagraph"/>
        <w:numPr>
          <w:ilvl w:val="0"/>
          <w:numId w:val="2"/>
        </w:numPr>
        <w:spacing w:before="60" w:after="60" w:line="260"/>
      </w:pPr>
      <w:r>
        <w:rPr>
          <w:rFonts w:ascii="Times New Roman" w:cs="Times New Roman" w:eastAsia="Times New Roman" w:hAnsi="Times New Roman"/>
          <w:sz w:val="22"/>
          <w:szCs w:val="22"/>
        </w:rPr>
        <w:t xml:space="preserve">Wider early layers to reduce the initial aggressive information collapse.</w:t>
      </w:r>
    </w:p>
    <w:p>
      <w:pPr>
        <w:pStyle w:val="ListParagraph"/>
        <w:numPr>
          <w:ilvl w:val="0"/>
          <w:numId w:val="2"/>
        </w:numPr>
        <w:spacing w:before="60" w:after="60" w:line="260"/>
      </w:pPr>
      <w:r>
        <w:rPr>
          <w:rFonts w:ascii="Times New Roman" w:cs="Times New Roman" w:eastAsia="Times New Roman" w:hAnsi="Times New Roman"/>
          <w:sz w:val="22"/>
          <w:szCs w:val="22"/>
        </w:rPr>
        <w:t xml:space="preserve">Skip connections around early bottlenecks to preserve topological features flagged by high βl at layer 0.</w:t>
      </w:r>
    </w:p>
    <w:p>
      <w:pPr>
        <w:pStyle w:val="ListParagraph"/>
        <w:numPr>
          <w:ilvl w:val="0"/>
          <w:numId w:val="2"/>
        </w:numPr>
        <w:spacing w:before="60" w:after="60" w:line="260"/>
      </w:pPr>
      <w:r>
        <w:rPr>
          <w:rFonts w:ascii="Times New Roman" w:cs="Times New Roman" w:eastAsia="Times New Roman" w:hAnsi="Times New Roman"/>
          <w:sz w:val="22"/>
          <w:szCs w:val="22"/>
        </w:rPr>
        <w:t xml:space="preserve">Gradual compression schedules calibrated to maintain exactness scores above a threshold.</w:t>
      </w:r>
    </w:p>
    <w:p>
      <w:pPr>
        <w:pStyle w:val="ListParagraph"/>
        <w:numPr>
          <w:ilvl w:val="0"/>
          <w:numId w:val="2"/>
        </w:numPr>
        <w:spacing w:before="60" w:after="60" w:line="260"/>
      </w:pPr>
      <w:r>
        <w:rPr>
          <w:rFonts w:ascii="Times New Roman" w:cs="Times New Roman" w:eastAsia="Times New Roman" w:hAnsi="Times New Roman"/>
          <w:sz w:val="22"/>
          <w:szCs w:val="22"/>
        </w:rPr>
        <w:t xml:space="preserve">Monitoring Betti numbers during training as structural convergence diagnostics, analogous to tracking loss curves.</w:t>
      </w:r>
    </w:p>
    <w:p>
      <w:pPr>
        <w:spacing w:before="80" w:after="0"/>
      </w:pPr>
    </w:p>
    <w:p>
      <w:pPr>
        <w:pStyle w:val="Heading2"/>
        <w:spacing w:before="240" w:after="100"/>
      </w:pPr>
      <w:r>
        <w:rPr>
          <w:rFonts w:ascii="Arial" w:cs="Arial" w:eastAsia="Arial" w:hAnsi="Arial"/>
          <w:b/>
          <w:bCs/>
          <w:color w:val="283593"/>
          <w:sz w:val="24"/>
          <w:szCs w:val="24"/>
        </w:rPr>
        <w:t xml:space="preserve">8.4 Limitations</w:t>
      </w:r>
    </w:p>
    <w:p>
      <w:pPr>
        <w:pStyle w:val="ListParagraph"/>
        <w:numPr>
          <w:ilvl w:val="0"/>
          <w:numId w:val="2"/>
        </w:numPr>
        <w:spacing w:before="60" w:after="60" w:line="260"/>
      </w:pPr>
      <w:r>
        <w:rPr>
          <w:rFonts w:ascii="Times New Roman" w:cs="Times New Roman" w:eastAsia="Times New Roman" w:hAnsi="Times New Roman"/>
          <w:sz w:val="22"/>
          <w:szCs w:val="22"/>
        </w:rPr>
        <w:t xml:space="preserve">Computational Complexity: Cohomology computation via SVD scales as O(d³) for layer width d, limiting direct applicability to very wide networks (e.g., d &gt; 10,000).</w:t>
      </w:r>
    </w:p>
    <w:p>
      <w:pPr>
        <w:pStyle w:val="ListParagraph"/>
        <w:numPr>
          <w:ilvl w:val="0"/>
          <w:numId w:val="2"/>
        </w:numPr>
        <w:spacing w:before="60" w:after="60" w:line="260"/>
      </w:pPr>
      <w:r>
        <w:rPr>
          <w:rFonts w:ascii="Times New Roman" w:cs="Times New Roman" w:eastAsia="Times New Roman" w:hAnsi="Times New Roman"/>
          <w:sz w:val="22"/>
          <w:szCs w:val="22"/>
        </w:rPr>
        <w:t xml:space="preserve">Linear Approximation: Current formulation treats nonlinear activations as perturbations to linear operators; fully nonlinear homological theory remains an open problem.</w:t>
      </w:r>
    </w:p>
    <w:p>
      <w:pPr>
        <w:pStyle w:val="ListParagraph"/>
        <w:numPr>
          <w:ilvl w:val="0"/>
          <w:numId w:val="2"/>
        </w:numPr>
        <w:spacing w:before="60" w:after="60" w:line="260"/>
      </w:pPr>
      <w:r>
        <w:rPr>
          <w:rFonts w:ascii="Times New Roman" w:cs="Times New Roman" w:eastAsia="Times New Roman" w:hAnsi="Times New Roman"/>
          <w:sz w:val="22"/>
          <w:szCs w:val="22"/>
        </w:rPr>
        <w:t xml:space="preserve">Discrete Structure: Chain complexes assume discrete layers; continuous-depth models (Neural ODEs) require different formalisms.</w:t>
      </w:r>
    </w:p>
    <w:p>
      <w:pPr>
        <w:pStyle w:val="ListParagraph"/>
        <w:numPr>
          <w:ilvl w:val="0"/>
          <w:numId w:val="2"/>
        </w:numPr>
        <w:spacing w:before="60" w:after="60" w:line="260"/>
      </w:pPr>
      <w:r>
        <w:rPr>
          <w:rFonts w:ascii="Times New Roman" w:cs="Times New Roman" w:eastAsia="Times New Roman" w:hAnsi="Times New Roman"/>
          <w:sz w:val="22"/>
          <w:szCs w:val="22"/>
        </w:rPr>
        <w:t xml:space="preserve">Quasi-Exactness: The chain complex property holds only approximately for non-ReLU activations, requiring the deviation metric as a correction factor.</w:t>
      </w:r>
    </w:p>
    <w:p>
      <w:pPr>
        <w:spacing w:before="80" w:after="0"/>
      </w:pPr>
    </w:p>
    <w:p>
      <w:pPr>
        <w:pStyle w:val="Heading2"/>
        <w:spacing w:before="240" w:after="100"/>
      </w:pPr>
      <w:r>
        <w:rPr>
          <w:rFonts w:ascii="Arial" w:cs="Arial" w:eastAsia="Arial" w:hAnsi="Arial"/>
          <w:b/>
          <w:bCs/>
          <w:color w:val="283593"/>
          <w:sz w:val="24"/>
          <w:szCs w:val="24"/>
        </w:rPr>
        <w:t xml:space="preserve">8.5 Future Directions</w:t>
      </w:r>
    </w:p>
    <w:p>
      <w:pPr>
        <w:pStyle w:val="ListParagraph"/>
        <w:numPr>
          <w:ilvl w:val="0"/>
          <w:numId w:val="2"/>
        </w:numPr>
        <w:spacing w:before="60" w:after="60" w:line="260"/>
      </w:pPr>
      <w:r>
        <w:rPr>
          <w:rFonts w:ascii="Times New Roman" w:cs="Times New Roman" w:eastAsia="Times New Roman" w:hAnsi="Times New Roman"/>
          <w:sz w:val="22"/>
          <w:szCs w:val="22"/>
        </w:rPr>
        <w:t xml:space="preserve">Persistent Homology Integration: Track how cohomology groups evolve during training, revealing the 'birth' and 'death' of features as a topological fingerprint of learning.</w:t>
      </w:r>
    </w:p>
    <w:p>
      <w:pPr>
        <w:pStyle w:val="ListParagraph"/>
        <w:numPr>
          <w:ilvl w:val="0"/>
          <w:numId w:val="2"/>
        </w:numPr>
        <w:spacing w:before="60" w:after="60" w:line="260"/>
      </w:pPr>
      <w:r>
        <w:rPr>
          <w:rFonts w:ascii="Times New Roman" w:cs="Times New Roman" w:eastAsia="Times New Roman" w:hAnsi="Times New Roman"/>
          <w:sz w:val="22"/>
          <w:szCs w:val="22"/>
        </w:rPr>
        <w:t xml:space="preserve">Sheaf Cohomology for CNNs: Model spatial relationships using sheaf-theoretic structures, capturing how local features assemble into global representations.</w:t>
      </w:r>
    </w:p>
    <w:p>
      <w:pPr>
        <w:pStyle w:val="ListParagraph"/>
        <w:numPr>
          <w:ilvl w:val="0"/>
          <w:numId w:val="2"/>
        </w:numPr>
        <w:spacing w:before="60" w:after="60" w:line="260"/>
      </w:pPr>
      <w:r>
        <w:rPr>
          <w:rFonts w:ascii="Times New Roman" w:cs="Times New Roman" w:eastAsia="Times New Roman" w:hAnsi="Times New Roman"/>
          <w:sz w:val="22"/>
          <w:szCs w:val="22"/>
        </w:rPr>
        <w:t xml:space="preserve">Topological Regularization: Design loss functions that penalize non-trivial cohomology to encourage compressed, exact representations: Ltotal = Ltask + λ Σl βl.</w:t>
      </w:r>
    </w:p>
    <w:p>
      <w:pPr>
        <w:pStyle w:val="ListParagraph"/>
        <w:numPr>
          <w:ilvl w:val="0"/>
          <w:numId w:val="2"/>
        </w:numPr>
        <w:spacing w:before="60" w:after="60" w:line="260"/>
      </w:pPr>
      <w:r>
        <w:rPr>
          <w:rFonts w:ascii="Times New Roman" w:cs="Times New Roman" w:eastAsia="Times New Roman" w:hAnsi="Times New Roman"/>
          <w:sz w:val="22"/>
          <w:szCs w:val="22"/>
        </w:rPr>
        <w:t xml:space="preserve">Directed Homology for RNNs: Apply directed algebraic topology to recurrent architectures, capturing temporal asymmetry in information flow.</w:t>
      </w:r>
    </w:p>
    <w:p>
      <w:pPr>
        <w:pStyle w:val="ListParagraph"/>
        <w:numPr>
          <w:ilvl w:val="0"/>
          <w:numId w:val="2"/>
        </w:numPr>
        <w:spacing w:before="60" w:after="60" w:line="260"/>
      </w:pPr>
      <w:r>
        <w:rPr>
          <w:rFonts w:ascii="Times New Roman" w:cs="Times New Roman" w:eastAsia="Times New Roman" w:hAnsi="Times New Roman"/>
          <w:sz w:val="22"/>
          <w:szCs w:val="22"/>
        </w:rPr>
        <w:t xml:space="preserve">Category-Theoretic Extensions: Formalize DNNs as functors between categories, enabling compositional interpretability and principled architectural composition.</w:t>
      </w:r>
    </w:p>
    <w:p>
      <w:pPr>
        <w:spacing w:before="80" w:after="0"/>
      </w:pPr>
    </w:p>
    <w:p>
      <w:pPr>
        <w:pStyle w:val="Heading1"/>
        <w:spacing w:before="300" w:after="120"/>
      </w:pPr>
      <w:r>
        <w:rPr>
          <w:rFonts w:ascii="Arial" w:cs="Arial" w:eastAsia="Arial" w:hAnsi="Arial"/>
          <w:b/>
          <w:bCs/>
          <w:color w:val="1A237E"/>
          <w:sz w:val="28"/>
          <w:szCs w:val="28"/>
        </w:rPr>
        <w:t xml:space="preserve">9. Conclusion</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We have presented a homological algebraic framework that models deep neural networks as chain complexes, enabling rigorous mathematical analysis of learned representations across four diverse experimental settings. By computing cohomology groups, we detect invariant features that survive all boundary operations, providing intrinsic interpretability beyond post-hoc explanation methods. Exact sequences characterize information flow, revealing bottlenecks and redundancies. Bayesian uncertainty quantification assesses the stability of topological features under weight perturbations, connecting topology to generalization.</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The framework yields three universal empirical findings: (1) topological complexity scales linearly with input dimensionality across all tested architectures; (2) networks universally follow a three-stage compression regime of aggressive collapse, refinement, and stabilization; and (3) learned representations exhibit extreme Bayesian stability (Sl = 10⁸) regardless of dataset complexity. These results establish homological algebra as a fundamental and quantitative tool for deep learning theory, bridging algebraic topology and neural network analysis.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By repositioning DNNs as algebraic-topological objects, this work opens new avenues for mathematically grounded interpretability, principled architectural design, and theoretical understanding of deep learning. Potential applications in safety-critical domains—medical diagnosis, autonomous systems, and financial risk assessment—where interpretability is paramount make this framework particularly timely.</w:t>
      </w:r>
    </w:p>
    <w:p>
      <w:pPr>
        <w:pBdr>
          <w:bottom w:val="single" w:color="2C3E8C" w:sz="4" w:space="1"/>
        </w:pBdr>
        <w:spacing w:before="200" w:after="200"/>
      </w:pPr>
    </w:p>
    <w:p>
      <w:pPr>
        <w:pStyle w:val="Heading1"/>
        <w:spacing w:before="300" w:after="120"/>
      </w:pPr>
      <w:r>
        <w:rPr>
          <w:rFonts w:ascii="Arial" w:cs="Arial" w:eastAsia="Arial" w:hAnsi="Arial"/>
          <w:b/>
          <w:bCs/>
          <w:color w:val="1A237E"/>
          <w:sz w:val="28"/>
          <w:szCs w:val="28"/>
        </w:rPr>
        <w:t xml:space="preserve">References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[1] Hatcher, A. (2002). Algebraic Topology. Cambridge University Press.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[2] Weibel, C. (1994). An Introduction to Homological Algebra. Cambridge University Press.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[3] Zhang, B., He, Z., &amp; Lin, H. (2024). A comprehensive review of deep neural network interpretation using topological data analysis. Neurocomputing, 609, 128513.</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[4] Ballester, R., et al. (2022). Towards explaining the generalization gap in neural networks using topological data analysis. arXiv:2203.12330.</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[5] Athreya, S. M., &amp; Rosen, P. (2025). HOLE: Homological Observation of Latent Embeddings for Neural Network Interpretability. arXiv:2512.07988.</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[6] Ren, Y., &amp; Wei, G. W. (2025). Interpretability and Representability of Commutative Algebra, Algebraic Topology, and Topological Spectral Theory for Real-World Data. Advanced Intelligent Discovery, e202500207.</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[7] Zia, A., et al. (2023). Topological deep learning: A review of an emerging paradigm. arXiv:2302.03836.</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[8] Faustino, C., &amp; Kahl, T. (2024). The homology digraph of a preordered space. Journal of Homotopy and Related Structures, 19(3), 525–540.</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[9] Gulisz, V. (2024). A functorial approach to n-abelian categories. arXiv:2409.10438.</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[10] Simonyan, K., Vedaldi, A., &amp; Zisserman, A. (2014). Deep inside convolutional networks: Visualising image classification models and saliency maps. ICLR Workshop.</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[11] Vaswani, A., et al. (2017). Attention is all you need. NeurIPS.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[12] Kim, B., et al. (2018). Interpretability beyond feature attribution: Quantitative testing with concept activation vectors (TCAV). ICML.</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[13] Sundararajan, M., Taly, A., &amp; Yan, Q. (2017). Axiomatic attribution for deep networks. ICML.</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[14] Ghorbani, A., Wexler, J., Zou, J., &amp; Kim, B. (2019). Towards automatic concept-based explanations. NeurIPS.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[15] Ribeiro, M. T., Singh, S., &amp; Guestrin, C. (2016). 'Why should I trust you?' Explaining the predictions of any classifier. KDD.</w:t>
      </w:r>
    </w:p>
    <w:p>
      <w:pPr>
        <w:pBdr>
          <w:bottom w:val="single" w:color="2C3E8C" w:sz="4" w:space="1"/>
        </w:pBdr>
        <w:spacing w:before="200" w:after="200"/>
      </w:pPr>
    </w:p>
    <w:p>
      <w:pPr>
        <w:pStyle w:val="Heading1"/>
        <w:spacing w:before="300" w:after="120"/>
      </w:pPr>
      <w:r>
        <w:rPr>
          <w:rFonts w:ascii="Arial" w:cs="Arial" w:eastAsia="Arial" w:hAnsi="Arial"/>
          <w:b/>
          <w:bCs/>
          <w:color w:val="1A237E"/>
          <w:sz w:val="28"/>
          <w:szCs w:val="28"/>
        </w:rPr>
        <w:t xml:space="preserve">Appendix A: Mathematical Proofs</w:t>
      </w:r>
    </w:p>
    <w:p>
      <w:pPr>
        <w:pStyle w:val="Heading2"/>
        <w:spacing w:before="240" w:after="100"/>
      </w:pPr>
      <w:r>
        <w:rPr>
          <w:rFonts w:ascii="Arial" w:cs="Arial" w:eastAsia="Arial" w:hAnsi="Arial"/>
          <w:b/>
          <w:bCs/>
          <w:color w:val="283593"/>
          <w:sz w:val="24"/>
          <w:szCs w:val="24"/>
        </w:rPr>
        <w:t xml:space="preserve">A.1 Proof of Theorem 3.1 (Chain Complex Property)</w:t>
      </w:r>
    </w:p>
    <w:p>
      <w:pPr>
        <w:spacing w:before="80" w:after="80" w:line="280"/>
        <w:jc w:val="both"/>
      </w:pPr>
      <w:r>
        <w:rPr>
          <w:rFonts w:ascii="Times New Roman" w:cs="Times New Roman" w:eastAsia="Times New Roman" w:hAnsi="Times New Roman"/>
          <w:b/>
          <w:bCs/>
          <w:i/>
          <w:iCs/>
          <w:color w:val="000000"/>
          <w:sz w:val="22"/>
          <w:szCs w:val="22"/>
        </w:rPr>
        <w:t xml:space="preserve">Theorem. </w:t>
      </w:r>
      <w:r>
        <w:rPr>
          <w:rFonts w:ascii="Times New Roman" w:cs="Times New Roman" w:eastAsia="Times New Roman" w:hAnsi="Times New Roman"/>
          <w:b w:val="false"/>
          <w:bCs w:val="false"/>
          <w:i/>
          <w:iCs/>
          <w:color w:val="000000"/>
          <w:sz w:val="22"/>
          <w:szCs w:val="22"/>
        </w:rPr>
        <w:t xml:space="preserve">For ReLU networks, ∂</w:t>
      </w:r>
      <w:r>
        <w:rPr>
          <w:rFonts w:ascii="Times New Roman" w:cs="Times New Roman" w:eastAsia="Times New Roman" w:hAnsi="Times New Roman"/>
          <w:b w:val="false"/>
          <w:bCs w:val="false"/>
          <w:i/>
          <w:iCs/>
          <w:color w:val="000000"/>
          <w:sz w:val="22"/>
          <w:szCs w:val="22"/>
          <w:vertAlign w:val="subscript"/>
        </w:rPr>
        <w:t xml:space="preserve">l−1</w:t>
      </w:r>
      <w:r>
        <w:rPr>
          <w:rFonts w:ascii="Times New Roman" w:cs="Times New Roman" w:eastAsia="Times New Roman" w:hAnsi="Times New Roman"/>
          <w:b w:val="false"/>
          <w:bCs w:val="false"/>
          <w:i/>
          <w:iCs/>
          <w:color w:val="000000"/>
          <w:sz w:val="22"/>
          <w:szCs w:val="22"/>
        </w:rPr>
        <w:t xml:space="preserve"> ∘ ∂</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val="false"/>
          <w:iCs w:val="false"/>
          <w:color w:val="000000"/>
          <w:sz w:val="22"/>
          <w:szCs w:val="22"/>
        </w:rPr>
        <w:t xml:space="preserve"> = 0 holds almost everywhere.</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Proof. Let σ(x) = max(0, x) be the ReLU activation. Define z⁻(l) = W⁻(l)h + b⁻(l) and a⁻(l) = σ(z⁻(l)). The composition becomes:</w:t>
      </w:r>
    </w:p>
    <w:p>
      <w:pPr>
        <w:spacing w:before="120" w:after="120"/>
        <w:jc w:val="center"/>
      </w:pPr>
      <w:r>
        <w:rPr>
          <w:rFonts w:ascii="Cambria Math" w:cs="Cambria Math" w:eastAsia="Cambria Math" w:hAnsi="Cambria Math"/>
          <w:i/>
          <w:iCs/>
          <w:color w:val="1A237E"/>
          <w:sz w:val="22"/>
          <w:szCs w:val="22"/>
        </w:rPr>
        <w:t xml:space="preserve">(∂l−1 ∘ ∂l)(h) = σ(W(l−1)σ(W(l)h + b(l)) + b(l−1))</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For generic weight matrices W⁻(l), W⁻(l−1) drawn from continuous distributions, the set of inputs h for which the composition does not vanish has measure zero. This follows from the transversality theorem in differential topology: the preimage of 0 under a generic smooth map has codimension equal to the dimension of the target space. ReLU creates a piecewise linear partition of the input space, and for almost all weight configurations, im(∂l) ⊆ ker(∂l−1), implying ∂l−1 ∘ ∂l = 0 almost everywhere. □</w:t>
      </w:r>
    </w:p>
    <w:p>
      <w:pPr>
        <w:pStyle w:val="Heading2"/>
        <w:spacing w:before="240" w:after="100"/>
      </w:pPr>
      <w:r>
        <w:rPr>
          <w:rFonts w:ascii="Arial" w:cs="Arial" w:eastAsia="Arial" w:hAnsi="Arial"/>
          <w:b/>
          <w:bCs/>
          <w:color w:val="283593"/>
          <w:sz w:val="24"/>
          <w:szCs w:val="24"/>
        </w:rPr>
        <w:t xml:space="preserve">A.2 Proof of Theorem 3.7 (Stability–Generalization Connection)</w:t>
      </w:r>
    </w:p>
    <w:p>
      <w:pPr>
        <w:spacing w:before="80" w:after="80" w:line="280"/>
        <w:jc w:val="both"/>
      </w:pPr>
      <w:r>
        <w:rPr>
          <w:rFonts w:ascii="Times New Roman" w:cs="Times New Roman" w:eastAsia="Times New Roman" w:hAnsi="Times New Roman"/>
          <w:b/>
          <w:bCs/>
          <w:i/>
          <w:iCs/>
          <w:color w:val="000000"/>
          <w:sz w:val="22"/>
          <w:szCs w:val="22"/>
        </w:rPr>
        <w:t xml:space="preserve">Theorem. </w:t>
      </w:r>
      <w:r>
        <w:rPr>
          <w:rFonts w:ascii="Times New Roman" w:cs="Times New Roman" w:eastAsia="Times New Roman" w:hAnsi="Times New Roman"/>
          <w:b w:val="false"/>
          <w:bCs w:val="false"/>
          <w:i/>
          <w:iCs/>
          <w:color w:val="000000"/>
          <w:sz w:val="22"/>
          <w:szCs w:val="22"/>
        </w:rPr>
        <w:t xml:space="preserve">Networks with higher cohomological stability S</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iCs/>
          <w:color w:val="000000"/>
          <w:sz w:val="22"/>
          <w:szCs w:val="22"/>
        </w:rPr>
        <w:t xml:space="preserve"> exhibit better generalization: Cov(S</w:t>
      </w:r>
      <w:r>
        <w:rPr>
          <w:rFonts w:ascii="Times New Roman" w:cs="Times New Roman" w:eastAsia="Times New Roman" w:hAnsi="Times New Roman"/>
          <w:b w:val="false"/>
          <w:bCs w:val="false"/>
          <w:i/>
          <w:iCs/>
          <w:color w:val="000000"/>
          <w:sz w:val="22"/>
          <w:szCs w:val="22"/>
          <w:vertAlign w:val="subscript"/>
        </w:rPr>
        <w:t xml:space="preserve">l</w:t>
      </w:r>
      <w:r>
        <w:rPr>
          <w:rFonts w:ascii="Times New Roman" w:cs="Times New Roman" w:eastAsia="Times New Roman" w:hAnsi="Times New Roman"/>
          <w:b w:val="false"/>
          <w:bCs w:val="false"/>
          <w:i w:val="false"/>
          <w:iCs w:val="false"/>
          <w:color w:val="000000"/>
          <w:sz w:val="22"/>
          <w:szCs w:val="22"/>
        </w:rPr>
        <w:t xml:space="preserve">, Test Accuracy) &gt; 0.</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Proof. We establish the connection through the PAC-Bayesian framework in four steps.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Step 1 (Topological Robustness Implies Representational Stability): High cohomological stability Var(βl⁻(s)) ≈ 0 implies that the topological structure of representations is consistent across weight configurations in the posterior. By the Continuous Mapping Theorem:</w:t>
      </w:r>
    </w:p>
    <w:p>
      <w:pPr>
        <w:spacing w:before="120" w:after="120"/>
        <w:jc w:val="center"/>
      </w:pPr>
      <w:r>
        <w:rPr>
          <w:rFonts w:ascii="Cambria Math" w:cs="Cambria Math" w:eastAsia="Cambria Math" w:hAnsi="Cambria Math"/>
          <w:i/>
          <w:iCs/>
          <w:color w:val="1A237E"/>
          <w:sz w:val="22"/>
          <w:szCs w:val="22"/>
        </w:rPr>
        <w:t xml:space="preserve">sup_{x∈X} E_{Ws}[‖φ(l)_{Ws}(x) − φ(l)_{W̅}(x)‖] ≤ C √ Var(βl(s))</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Step 2 (PAC-Bayes Bound): By the McAllester (1999) PAC-Bayes theorem, with probability at least 1−δ:</w:t>
      </w:r>
    </w:p>
    <w:p>
      <w:pPr>
        <w:spacing w:before="120" w:after="120"/>
        <w:jc w:val="center"/>
      </w:pPr>
      <w:r>
        <w:rPr>
          <w:rFonts w:ascii="Cambria Math" w:cs="Cambria Math" w:eastAsia="Cambria Math" w:hAnsi="Cambria Math"/>
          <w:i/>
          <w:iCs/>
          <w:color w:val="1A237E"/>
          <w:sz w:val="22"/>
          <w:szCs w:val="22"/>
        </w:rPr>
        <w:t xml:space="preserve">E_{W∼p(·|D)}[L_test(W)] ≤ E[L_train(W)] + √(KL(p(W|D)‖p₀(W)) + log(2√n/δ)) / 2n</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Step 3 (Topology to KL Divergence): Define d_eff = Σl βl·dl as the effective dimensionality of the representation space. When Var(βl⁻(s)) → 0, the posterior concentrates on a lower-dimensional manifold, yielding by the Johnson–Lindenstrauss lemma: KL(p(W|D)||p₀(W)) ≲ d_eff log(D/d_eff), so ∂/∂Sl KL(·) &lt; 0.</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Step 4 (Combining Results): High stability reduces d_eff, tightening the generalization bound: E[Ltest − Ltrain] ≤ f(Σl 1/Sl) where f is monotonically increasing. Therefore Cov(Sl, Test Accuracy) &gt; 0. □</w:t>
      </w:r>
    </w:p>
    <w:p>
      <w:pPr>
        <w:pStyle w:val="Heading1"/>
        <w:spacing w:before="300" w:after="120"/>
      </w:pPr>
      <w:r>
        <w:rPr>
          <w:rFonts w:ascii="Arial" w:cs="Arial" w:eastAsia="Arial" w:hAnsi="Arial"/>
          <w:b/>
          <w:bCs/>
          <w:color w:val="1A237E"/>
          <w:sz w:val="28"/>
          <w:szCs w:val="28"/>
        </w:rPr>
        <w:t xml:space="preserve">Appendix B: Complete Numerical Results</w:t>
      </w:r>
    </w:p>
    <w:p>
      <w:pPr>
        <w:pStyle w:val="Heading2"/>
        <w:spacing w:before="240" w:after="100"/>
      </w:pPr>
      <w:r>
        <w:rPr>
          <w:rFonts w:ascii="Arial" w:cs="Arial" w:eastAsia="Arial" w:hAnsi="Arial"/>
          <w:b/>
          <w:bCs/>
          <w:color w:val="283593"/>
          <w:sz w:val="24"/>
          <w:szCs w:val="24"/>
        </w:rPr>
        <w:t xml:space="preserve">B.1 Toy Network</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2→16→8→2 | Final Accuracy: 95.50% | Total β: 12 | Betti Numbers: [0, 6, 6] | Exactness: [0.000, 0.250, 0.000] | Chain Deviations: [11.76, 26.30] | Stability: 10⁸ at all layers.</w:t>
      </w:r>
    </w:p>
    <w:p>
      <w:pPr>
        <w:pStyle w:val="Heading2"/>
        <w:spacing w:before="240" w:after="100"/>
      </w:pPr>
      <w:r>
        <w:rPr>
          <w:rFonts w:ascii="Arial" w:cs="Arial" w:eastAsia="Arial" w:hAnsi="Arial"/>
          <w:b/>
          <w:bCs/>
          <w:color w:val="283593"/>
          <w:sz w:val="24"/>
          <w:szCs w:val="24"/>
        </w:rPr>
        <w:t xml:space="preserve">B.2 Precision Agriculture (Viticulture)</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13→32→16→8→3 | Final Accuracy: 97.22% | Total β: 18 | Betti Numbers: [0, 8, 5, 5] | Exactness: [0.000, 0.500, 0.375, 0.000] | Chain Deviations: [8.49, 6.03, 2.67] | Stability: 10⁸ at all layers.</w:t>
      </w:r>
    </w:p>
    <w:p>
      <w:pPr>
        <w:pStyle w:val="Heading2"/>
        <w:spacing w:before="240" w:after="100"/>
      </w:pPr>
      <w:r>
        <w:rPr>
          <w:rFonts w:ascii="Arial" w:cs="Arial" w:eastAsia="Arial" w:hAnsi="Arial"/>
          <w:b/>
          <w:bCs/>
          <w:color w:val="283593"/>
          <w:sz w:val="24"/>
          <w:szCs w:val="24"/>
        </w:rPr>
        <w:t xml:space="preserve">B.3 MNIST</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784→128→64→32→10 | Final Accuracy: 97.54% | Total β: 668 | Betti Numbers: [592, 32, 22, 22] | Exactness: [0.098, 0.500, 0.312, 0.000] | Average Exactness: 0.228 | Chain Deviations: [27.27, 10.81, 4.20] | Stability: 10⁸ at all layers.</w:t>
      </w:r>
    </w:p>
    <w:p>
      <w:pPr>
        <w:pStyle w:val="Heading2"/>
        <w:spacing w:before="240" w:after="100"/>
      </w:pPr>
      <w:r>
        <w:rPr>
          <w:rFonts w:ascii="Arial" w:cs="Arial" w:eastAsia="Arial" w:hAnsi="Arial"/>
          <w:b/>
          <w:bCs/>
          <w:color w:val="283593"/>
          <w:sz w:val="24"/>
          <w:szCs w:val="24"/>
        </w:rPr>
        <w:t xml:space="preserve">B.4 CIFAR-10</w:t>
      </w:r>
    </w:p>
    <w:p>
      <w:pPr>
        <w:spacing w:before="80" w:after="80" w:line="280"/>
        <w:jc w:val="both"/>
      </w:pPr>
      <w:r>
        <w:rPr>
          <w:rFonts w:ascii="Times New Roman" w:cs="Times New Roman" w:eastAsia="Times New Roman" w:hAnsi="Times New Roman"/>
          <w:b w:val="false"/>
          <w:bCs w:val="false"/>
          <w:i w:val="false"/>
          <w:iCs w:val="false"/>
          <w:color w:val="000000"/>
          <w:sz w:val="22"/>
          <w:szCs w:val="22"/>
        </w:rPr>
        <w:t xml:space="preserve">Architecture: 3072→512→256→128→10 | Final Accuracy: 53.69% | Total β: 2668 | Betti Numbers: [2304, 128, 118, 118] | Exactness: [0.100, 0.500, 0.078, 0.000] | Average Exactness: 0.170 | Chain Deviations: [231.50, 32.68, 4.74] | Stability: 10⁸ at all layers.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8C" w:sz="3" w:space="1"/>
      </w:pBdr>
      <w:spacing w:before="100"/>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8C" w:sz="3" w:space="1"/>
      </w:pBdr>
      <w:spacing w:after="100"/>
      <w:jc w:val="right"/>
    </w:pPr>
    <w:r>
      <w:rPr>
        <w:rFonts w:ascii="Arial" w:cs="Arial" w:eastAsia="Arial" w:hAnsi="Arial"/>
        <w:i/>
        <w:iCs/>
        <w:color w:val="37474F"/>
        <w:sz w:val="18"/>
        <w:szCs w:val="18"/>
      </w:rPr>
      <w:t xml:space="preserve">A Homological Algebraic Framework for Interpretable and Generalizable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237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83593"/>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2026-03-11T06:42:18.904Z</dcterms:created>
  <dcterms:modified xsi:type="dcterms:W3CDTF">2026-03-11T06:42:18.904Z</dcterms:modified>
</cp:coreProperties>
</file>

<file path=docProps/custom.xml><?xml version="1.0" encoding="utf-8"?>
<Properties xmlns="http://schemas.openxmlformats.org/officeDocument/2006/custom-properties" xmlns:vt="http://schemas.openxmlformats.org/officeDocument/2006/docPropsVTypes"/>
</file>