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6">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Botium Toys conducts business worldwide including the EU. As an organization that hosts data center services and potentially handles customer data, it is important to adhere to the standards outlined under the GDPR. This will help keep customer data safe and provide a template if a breach were to occur. </w:t>
      </w:r>
      <w:r w:rsidDel="00000000" w:rsidR="00000000" w:rsidRPr="00000000">
        <w:rPr>
          <w:rtl w:val="0"/>
        </w:rPr>
      </w:r>
    </w:p>
    <w:p w:rsidR="00000000" w:rsidDel="00000000" w:rsidP="00000000" w:rsidRDefault="00000000" w:rsidRPr="00000000" w14:paraId="00000009">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As an e-commerce and commercial business Botium handles Payment data on a regular basis. Compliance with the PCI DSS is mandatory to ensure the safety of customer and vendor payment information.</w:t>
      </w:r>
      <w:r w:rsidDel="00000000" w:rsidR="00000000" w:rsidRPr="00000000">
        <w:rPr>
          <w:rtl w:val="0"/>
        </w:rPr>
      </w:r>
    </w:p>
    <w:p w:rsidR="00000000" w:rsidDel="00000000" w:rsidP="00000000" w:rsidRDefault="00000000" w:rsidRPr="00000000" w14:paraId="0000000C">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F">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0">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Assets listed by the IT manager include, remote workstations, desktops/laptops, vendor access management, data center hosting, and more. This along with the amount of users possibly interacting with data increase the risk of fraud and breaches. With a stated intention of increasing the size of the team, Implementing SOC1 or SOC2 would be a good idea to counter the risk.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