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信任函数组合和冲突管理</w:t>
      </w:r>
    </w:p>
    <w:p>
      <w:pPr>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摘要：在证据理论的框架内，数据融合是通过将来自不同信息源的多个信念函数结合起来，得到一个单一的信念函数。最流行的组合法则，叫做登普斯特法则组合(或正交和)有几个有趣的数学性质，如交换性或结合性。然而，将信念函数与此运算符相结合意味着将结果按比例缩放以保持某些基本性质，从而将结果归一化。虽然这种标准化看起来是合乎逻辑的，但是一些作者批评了它，一些人提出了其他的解决方案。特别是，Dempster的组合操作符对于管理规范化步骤中不同信息源之间的冲突是一个糟糕的解决方案。冲突管理是一个重要的问题，尤其是在多信息源融合的情况下。的确，随着资料来源的数目增加，冲突也会增加。这就是为什么重新分配冲突群体的战略至关重要。本文定义了一个描述组合算子族的形式主义。因此，我们建议开发一个通用的框架来统一几个经典的组合规则。我们还提出了其他的组合规则，允许对冲突的质量进行任意或适当的分配。2002年爱思唯尔科学公司保留所有权利。</w:t>
      </w:r>
    </w:p>
    <w:p>
      <w:pPr>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关键词：数据融合;证据理论;规则的组合;冲突</w:t>
      </w:r>
    </w:p>
    <w:p>
      <w:pPr>
        <w:numPr>
          <w:ilvl w:val="0"/>
          <w:numId w:val="1"/>
        </w:numPr>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引言</w:t>
      </w:r>
    </w:p>
    <w:p>
      <w:pPr>
        <w:jc w:val="left"/>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信息融合是过去几年许多研究的对象[1-11]。</w:t>
      </w:r>
      <w:r>
        <w:rPr>
          <w:rFonts w:hint="default" w:ascii="楷体" w:hAnsi="楷体" w:eastAsia="楷体" w:cs="楷体"/>
          <w:sz w:val="21"/>
          <w:szCs w:val="21"/>
          <w:lang w:val="en-US" w:eastAsia="zh-CN"/>
        </w:rPr>
        <w:t>一般以置信测度理论(可能性理论、证据理论、概率论和模糊集理论)为基础，具有:</w:t>
      </w:r>
    </w:p>
    <w:p>
      <w:pPr>
        <w:jc w:val="left"/>
        <w:rPr>
          <w:rFonts w:hint="eastAsia" w:ascii="楷体" w:hAnsi="楷体" w:eastAsia="楷体" w:cs="楷体"/>
          <w:sz w:val="21"/>
          <w:szCs w:val="21"/>
          <w:lang w:val="en-US" w:eastAsia="zh-CN"/>
        </w:rPr>
      </w:pPr>
      <w:r>
        <w:rPr>
          <w:rFonts w:hint="default" w:ascii="楷体" w:hAnsi="楷体" w:eastAsia="楷体" w:cs="楷体"/>
          <w:sz w:val="21"/>
          <w:szCs w:val="21"/>
          <w:lang w:val="en-US" w:eastAsia="zh-CN"/>
        </w:rPr>
        <w:t>•使用冗余信息，</w:t>
      </w:r>
    </w:p>
    <w:p>
      <w:pPr>
        <w:jc w:val="left"/>
        <w:rPr>
          <w:rFonts w:hint="default" w:ascii="楷体" w:hAnsi="楷体" w:eastAsia="楷体" w:cs="楷体"/>
          <w:sz w:val="21"/>
          <w:szCs w:val="21"/>
          <w:lang w:val="en-US" w:eastAsia="zh-CN"/>
        </w:rPr>
      </w:pPr>
      <w:r>
        <w:rPr>
          <w:rFonts w:hint="default" w:ascii="楷体" w:hAnsi="楷体" w:eastAsia="楷体" w:cs="楷体"/>
          <w:sz w:val="21"/>
          <w:szCs w:val="21"/>
          <w:lang w:val="en-US" w:eastAsia="zh-CN"/>
        </w:rPr>
        <w:t>•利用现有信息的互补性，</w:t>
      </w:r>
    </w:p>
    <w:p>
      <w:pPr>
        <w:jc w:val="left"/>
        <w:rPr>
          <w:rFonts w:hint="default" w:ascii="楷体" w:hAnsi="楷体" w:eastAsia="楷体" w:cs="楷体"/>
          <w:sz w:val="21"/>
          <w:szCs w:val="21"/>
          <w:lang w:val="en-US" w:eastAsia="zh-CN"/>
        </w:rPr>
      </w:pPr>
      <w:r>
        <w:rPr>
          <w:rFonts w:hint="default" w:ascii="楷体" w:hAnsi="楷体" w:eastAsia="楷体" w:cs="楷体"/>
          <w:sz w:val="21"/>
          <w:szCs w:val="21"/>
          <w:lang w:val="en-US" w:eastAsia="zh-CN"/>
        </w:rPr>
        <w:t>•获得更可靠的信息，</w:t>
      </w:r>
    </w:p>
    <w:p>
      <w:pPr>
        <w:jc w:val="left"/>
        <w:rPr>
          <w:rFonts w:hint="default" w:ascii="楷体" w:hAnsi="楷体" w:eastAsia="楷体" w:cs="楷体"/>
          <w:sz w:val="21"/>
          <w:szCs w:val="21"/>
          <w:lang w:val="en-US" w:eastAsia="zh-CN"/>
        </w:rPr>
      </w:pPr>
      <w:r>
        <w:rPr>
          <w:rFonts w:hint="default" w:ascii="楷体" w:hAnsi="楷体" w:eastAsia="楷体" w:cs="楷体"/>
          <w:sz w:val="21"/>
          <w:szCs w:val="21"/>
          <w:lang w:val="en-US" w:eastAsia="zh-CN"/>
        </w:rPr>
        <w:t>•改进决策制定。</w:t>
      </w:r>
    </w:p>
    <w:p>
      <w:pPr>
        <w:ind w:firstLine="420" w:firstLineChars="200"/>
        <w:jc w:val="left"/>
        <w:rPr>
          <w:rFonts w:hint="default" w:ascii="楷体" w:hAnsi="楷体" w:eastAsia="楷体" w:cs="楷体"/>
          <w:sz w:val="21"/>
          <w:szCs w:val="21"/>
          <w:lang w:val="en-US" w:eastAsia="zh-CN"/>
        </w:rPr>
      </w:pPr>
      <w:bookmarkStart w:id="0" w:name="_GoBack"/>
      <w:bookmarkEnd w:id="0"/>
      <w:r>
        <w:rPr>
          <w:rFonts w:hint="eastAsia" w:ascii="楷体" w:hAnsi="楷体" w:eastAsia="楷体" w:cs="楷体"/>
          <w:sz w:val="21"/>
          <w:szCs w:val="21"/>
          <w:lang w:val="en-US" w:eastAsia="zh-CN"/>
        </w:rPr>
        <w:t>数据融合应用于多个应用领域，如多传感器融合[12,13]、图像处理与分析[4 - 7,11,14,15]、分类[16-18]或目标跟踪[19]等。</w:t>
      </w:r>
      <w:r>
        <w:rPr>
          <w:rFonts w:hint="default" w:ascii="楷体" w:hAnsi="楷体" w:eastAsia="楷体" w:cs="楷体"/>
          <w:sz w:val="21"/>
          <w:szCs w:val="21"/>
          <w:lang w:val="en-US" w:eastAsia="zh-CN"/>
        </w:rPr>
        <w:t>它考虑了不均匀的信息(数字或符号)，这些信息往往是不完整的(不精确、不确定和不完整的)，并通过必须组合或聚合的信息源来建模。在证据理论框架下，信息融合依赖于组合规则的使用，允许不同命题的信念函数被组合。组合的基本规则是登普斯特组合规则(或称多边形和)。</w:t>
      </w:r>
      <w:r>
        <w:rPr>
          <w:rFonts w:hint="eastAsia" w:ascii="楷体" w:hAnsi="楷体" w:eastAsia="楷体" w:cs="楷体"/>
          <w:sz w:val="21"/>
          <w:szCs w:val="21"/>
          <w:lang w:val="en-US" w:eastAsia="zh-CN"/>
        </w:rPr>
        <w:t>为了保持信念函数的基本性质，需要一个归一化的步骤。</w:t>
      </w:r>
      <w:r>
        <w:rPr>
          <w:rFonts w:hint="default" w:ascii="楷体" w:hAnsi="楷体" w:eastAsia="楷体" w:cs="楷体"/>
          <w:sz w:val="21"/>
          <w:szCs w:val="21"/>
          <w:lang w:val="en-US" w:eastAsia="zh-CN"/>
        </w:rPr>
        <w:t>在[20]中，Zadeh强调了这种正常化涉及到违反直觉的行为。为了解决冲突管理问题，Yager[21]、Dubois[22]和Smets[23]以及最近的Murphy[24]提出了其他的组合规则。然而，这些规则或多或少具有令人满意的行为。特别是，Dubois ' s rule或Yager ' s rule of combination认为，冲突质量必须分布在所有子集上。斯密斯认为，矛盾的质量来自于识别框架的非穷尽性。</w:t>
      </w:r>
      <w:r>
        <w:rPr>
          <w:rFonts w:hint="eastAsia" w:ascii="楷体" w:hAnsi="楷体" w:eastAsia="楷体" w:cs="楷体"/>
          <w:sz w:val="21"/>
          <w:szCs w:val="21"/>
          <w:lang w:val="en-US" w:eastAsia="zh-CN"/>
        </w:rPr>
        <w:t>我们提出了另一种方法，通过一个通用公理来定义一个通用的信息源融合框架。</w:t>
      </w:r>
      <w:r>
        <w:rPr>
          <w:rFonts w:hint="default" w:ascii="楷体" w:hAnsi="楷体" w:eastAsia="楷体" w:cs="楷体"/>
          <w:sz w:val="21"/>
          <w:szCs w:val="21"/>
          <w:lang w:val="en-US" w:eastAsia="zh-CN"/>
        </w:rPr>
        <w:t>该框架支持获取大量的组合规则。</w:t>
      </w:r>
    </w:p>
    <w:p>
      <w:pPr>
        <w:jc w:val="left"/>
        <w:rPr>
          <w:rFonts w:hint="default" w:ascii="楷体" w:hAnsi="楷体" w:eastAsia="楷体" w:cs="楷体"/>
          <w:sz w:val="21"/>
          <w:szCs w:val="21"/>
          <w:lang w:val="en-US" w:eastAsia="zh-CN"/>
        </w:rPr>
      </w:pPr>
      <w:r>
        <w:rPr>
          <w:rFonts w:hint="default" w:ascii="楷体" w:hAnsi="楷体" w:eastAsia="楷体" w:cs="楷体"/>
          <w:sz w:val="21"/>
          <w:szCs w:val="21"/>
          <w:lang w:val="en-US" w:eastAsia="zh-CN"/>
        </w:rPr>
        <w:t>本文组织如下。首先简要介绍证据理论的基本概念(第二节)，包括登普斯特规则中的冲突问题的组合。在第3节中，我们定义了允许经典组合操作符统一的通用框架，并提出了一个新的组合族规则。最后，针对冲突中隐含的各命题，提出了确定冲突质量分配过程中各权重因子的方法(3.3.2节)。第4节给出了测试结果。</w:t>
      </w:r>
    </w:p>
    <w:p>
      <w:pPr>
        <w:numPr>
          <w:numId w:val="0"/>
        </w:numPr>
        <w:ind w:firstLine="280" w:firstLineChars="200"/>
        <w:jc w:val="left"/>
        <w:rPr>
          <w:rFonts w:hint="eastAsia" w:ascii="Arial" w:hAnsi="Arial" w:eastAsia="宋体" w:cs="Arial"/>
          <w:b w:val="0"/>
          <w:i w:val="0"/>
          <w:caps w:val="0"/>
          <w:color w:val="333333"/>
          <w:spacing w:val="0"/>
          <w:sz w:val="14"/>
          <w:szCs w:val="14"/>
          <w:shd w:val="clear" w:fill="F7F8FA"/>
          <w:lang w:val="en-US" w:eastAsia="zh-CN"/>
        </w:rPr>
      </w:pPr>
    </w:p>
    <w:p>
      <w:pPr>
        <w:numPr>
          <w:ilvl w:val="0"/>
          <w:numId w:val="1"/>
        </w:numPr>
        <w:jc w:val="left"/>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rPr>
          <w:rFonts w:hint="default" w:ascii="楷体" w:hAnsi="楷体" w:eastAsia="楷体" w:cs="楷体"/>
          <w:kern w:val="2"/>
          <w:sz w:val="21"/>
          <w:szCs w:val="21"/>
          <w:lang w:val="en-US" w:eastAsia="zh-CN" w:bidi="ar-SA"/>
        </w:rPr>
      </w:pPr>
      <w:r>
        <w:rPr>
          <w:rFonts w:hint="default" w:ascii="楷体" w:hAnsi="楷体" w:eastAsia="楷体" w:cs="楷体"/>
          <w:kern w:val="2"/>
          <w:sz w:val="21"/>
          <w:szCs w:val="21"/>
          <w:lang w:val="en-US" w:eastAsia="zh-CN" w:bidi="ar-SA"/>
        </w:rPr>
        <w:t>证据理论最初是基于Dempster关于上、下概率分布族的工作[25]。从这些数学基础上，谢弗[26]显示了信念函数对不确定知识建模的能力。信念函数作为主观概率的替代，后来通过Smets[27]和Smets以及Kennes[28]与可转移信念模型(TBM)进行了公理论证，对理论的基本概念。</w:t>
      </w:r>
    </w:p>
    <w:p>
      <w:pPr>
        <w:numPr>
          <w:numId w:val="0"/>
        </w:numPr>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2.1知识模型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rPr>
          <w:rFonts w:hint="default" w:ascii="楷体" w:hAnsi="楷体" w:eastAsia="楷体" w:cs="楷体"/>
          <w:kern w:val="2"/>
          <w:sz w:val="21"/>
          <w:szCs w:val="21"/>
          <w:lang w:val="en-US" w:eastAsia="zh-CN" w:bidi="ar-SA"/>
        </w:rPr>
      </w:pPr>
      <w:r>
        <w:rPr>
          <w:rFonts w:hint="default" w:ascii="楷体" w:hAnsi="楷体" w:eastAsia="楷体" w:cs="楷体"/>
          <w:kern w:val="2"/>
          <w:sz w:val="21"/>
          <w:szCs w:val="21"/>
          <w:lang w:val="en-US" w:eastAsia="zh-CN" w:bidi="ar-SA"/>
        </w:rPr>
        <w:t>证据理论首先假设一组被称为识别框架的假设H的定义，定义如下:</w:t>
      </w:r>
    </w:p>
    <w:p>
      <w:pPr>
        <w:keepNext w:val="0"/>
        <w:keepLines w:val="0"/>
        <w:widowControl/>
        <w:suppressLineNumbers w:val="0"/>
        <w:jc w:val="left"/>
      </w:pPr>
      <w:r>
        <w:drawing>
          <wp:inline distT="0" distB="0" distL="114300" distR="114300">
            <wp:extent cx="3752850" cy="3111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52850" cy="311150"/>
                    </a:xfrm>
                    <a:prstGeom prst="rect">
                      <a:avLst/>
                    </a:prstGeom>
                    <a:noFill/>
                    <a:ln>
                      <a:noFill/>
                    </a:ln>
                  </pic:spPr>
                </pic:pic>
              </a:graphicData>
            </a:graphic>
          </wp:inline>
        </w:drawing>
      </w:r>
    </w:p>
    <w:p>
      <w:pPr>
        <w:keepNext w:val="0"/>
        <w:keepLines w:val="0"/>
        <w:widowControl/>
        <w:suppressLineNumbers w:val="0"/>
        <w:jc w:val="left"/>
      </w:pPr>
    </w:p>
    <w:p>
      <w:pPr>
        <w:numPr>
          <w:numId w:val="0"/>
        </w:numPr>
        <w:jc w:val="left"/>
        <w:rPr>
          <w:rFonts w:hint="default" w:ascii="Arial" w:hAnsi="Arial" w:eastAsia="宋体" w:cs="Arial"/>
          <w:b w:val="0"/>
          <w:i w:val="0"/>
          <w:caps w:val="0"/>
          <w:color w:val="333333"/>
          <w:spacing w:val="0"/>
          <w:sz w:val="14"/>
          <w:szCs w:val="14"/>
          <w:shd w:val="clear" w:fill="F7F8FA"/>
          <w:lang w:val="en-US" w:eastAsia="zh-CN"/>
        </w:rPr>
      </w:pPr>
    </w:p>
    <w:p>
      <w:pPr>
        <w:numPr>
          <w:ilvl w:val="0"/>
          <w:numId w:val="1"/>
        </w:numPr>
        <w:jc w:val="left"/>
        <w:rPr>
          <w:rFonts w:hint="default" w:ascii="楷体" w:hAnsi="楷体" w:eastAsia="楷体" w:cs="楷体"/>
          <w:sz w:val="21"/>
          <w:szCs w:val="21"/>
          <w:lang w:val="en-US" w:eastAsia="zh-CN"/>
        </w:rPr>
      </w:pPr>
    </w:p>
    <w:p>
      <w:pPr>
        <w:jc w:val="center"/>
        <w:rPr>
          <w:rFonts w:hint="eastAsia" w:ascii="楷体" w:hAnsi="楷体" w:eastAsia="楷体" w:cs="楷体"/>
          <w:sz w:val="21"/>
          <w:szCs w:val="21"/>
          <w:lang w:val="en-US" w:eastAsia="zh-CN"/>
        </w:rPr>
      </w:pPr>
    </w:p>
    <w:p>
      <w:pPr>
        <w:jc w:val="center"/>
        <w:rPr>
          <w:rFonts w:hint="eastAsia" w:ascii="楷体" w:hAnsi="楷体" w:eastAsia="楷体" w:cs="楷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AdvPSMP10">
    <w:altName w:val="Segoe Print"/>
    <w:panose1 w:val="00000000000000000000"/>
    <w:charset w:val="00"/>
    <w:family w:val="auto"/>
    <w:pitch w:val="default"/>
    <w:sig w:usb0="00000000" w:usb1="00000000" w:usb2="00000000" w:usb3="00000000" w:csb0="00000000" w:csb1="00000000"/>
  </w:font>
  <w:font w:name="AdvP4C4E74">
    <w:altName w:val="Segoe Print"/>
    <w:panose1 w:val="00000000000000000000"/>
    <w:charset w:val="00"/>
    <w:family w:val="auto"/>
    <w:pitch w:val="default"/>
    <w:sig w:usb0="00000000" w:usb1="00000000" w:usb2="00000000" w:usb3="00000000" w:csb0="00000000" w:csb1="00000000"/>
  </w:font>
  <w:font w:name="AdvSPSMI">
    <w:altName w:val="Segoe Print"/>
    <w:panose1 w:val="00000000000000000000"/>
    <w:charset w:val="00"/>
    <w:family w:val="auto"/>
    <w:pitch w:val="default"/>
    <w:sig w:usb0="00000000" w:usb1="00000000" w:usb2="00000000" w:usb3="00000000" w:csb0="00000000" w:csb1="00000000"/>
  </w:font>
  <w:font w:name="AdvPSTim">
    <w:altName w:val="Segoe Print"/>
    <w:panose1 w:val="00000000000000000000"/>
    <w:charset w:val="00"/>
    <w:family w:val="auto"/>
    <w:pitch w:val="default"/>
    <w:sig w:usb0="00000000" w:usb1="00000000" w:usb2="00000000" w:usb3="00000000" w:csb0="00000000" w:csb1="00000000"/>
  </w:font>
  <w:font w:name="AdvP4C4E51">
    <w:altName w:val="Segoe Print"/>
    <w:panose1 w:val="00000000000000000000"/>
    <w:charset w:val="00"/>
    <w:family w:val="auto"/>
    <w:pitch w:val="default"/>
    <w:sig w:usb0="00000000" w:usb1="00000000" w:usb2="00000000" w:usb3="00000000" w:csb0="00000000" w:csb1="00000000"/>
  </w:font>
  <w:font w:name="AdvP4C4E59">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07FFD"/>
    <w:multiLevelType w:val="singleLevel"/>
    <w:tmpl w:val="3F607FF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17CA0"/>
    <w:rsid w:val="37122252"/>
    <w:rsid w:val="42971ED0"/>
    <w:rsid w:val="539E7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2019-11-18T14:50:51Z</dcterms:created>
  <dc:creator>20190</dc:creator>
  <cp:lastModifiedBy>东北虎</cp:lastModifiedBy>
  <dcterms:modified xsi:type="dcterms:W3CDTF">2019-11-18T15:39:36Z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