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Fonts w:ascii="Calibri" w:cs="Calibri" w:eastAsia="Calibri" w:hAnsi="Calibri"/>
                <w:rtl w:val="0"/>
              </w:rPr>
              <w:t xml:space="preserve">26 June 2025</w:t>
            </w:r>
            <w:r w:rsidDel="00000000" w:rsidR="00000000" w:rsidRPr="00000000">
              <w:rPr>
                <w:rtl w:val="0"/>
              </w:rPr>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Arial" w:cs="Arial" w:eastAsia="Arial" w:hAnsi="Arial"/>
                <w:color w:val="222222"/>
                <w:sz w:val="18"/>
                <w:szCs w:val="18"/>
                <w:rtl w:val="0"/>
              </w:rPr>
              <w:t xml:space="preserve">LTVIP2025TMID32174</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Fonts w:ascii="Calibri" w:cs="Calibri" w:eastAsia="Calibri" w:hAnsi="Calibri"/>
                <w:rtl w:val="0"/>
              </w:rPr>
              <w:t xml:space="preserve">EduTutor AI: Personalized Learning with Generative AI and LMS Integration</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the proposed solution template.</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1725"/>
        <w:gridCol w:w="6582"/>
        <w:tblGridChange w:id="0">
          <w:tblGrid>
            <w:gridCol w:w="709"/>
            <w:gridCol w:w="1725"/>
            <w:gridCol w:w="6582"/>
          </w:tblGrid>
        </w:tblGridChange>
      </w:tblGrid>
      <w:tr>
        <w:trPr>
          <w:cantSplit w:val="0"/>
          <w:tblHeader w:val="1"/>
        </w:trPr>
        <w:tc>
          <w:tcPr>
            <w:vAlign w:val="center"/>
          </w:tcPr>
          <w:p w:rsidR="00000000" w:rsidDel="00000000" w:rsidP="00000000" w:rsidRDefault="00000000" w:rsidRPr="00000000" w14:paraId="0000000F">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vAlign w:val="center"/>
          </w:tcPr>
          <w:p w:rsidR="00000000" w:rsidDel="00000000" w:rsidP="00000000" w:rsidRDefault="00000000" w:rsidRPr="00000000" w14:paraId="00000010">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vAlign w:val="center"/>
          </w:tcPr>
          <w:p w:rsidR="00000000" w:rsidDel="00000000" w:rsidP="00000000" w:rsidRDefault="00000000" w:rsidRPr="00000000" w14:paraId="00000011">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vAlign w:val="center"/>
          </w:tcPr>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vAlign w:val="center"/>
          </w:tcPr>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Problem Statement (Problem to be solved)</w:t>
            </w:r>
          </w:p>
        </w:tc>
        <w:tc>
          <w:tcPr>
            <w:vAlign w:val="center"/>
          </w:tcPr>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tl w:val="0"/>
              </w:rPr>
              <w:t xml:space="preserve">Students often lack access to personalized learning tools that adapt to their interests and performance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Idea / Solution description</w:t>
            </w:r>
          </w:p>
        </w:tc>
        <w:tc>
          <w:tcPr>
            <w:vAlign w:val="center"/>
          </w:tcPr>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 </w:t>
            </w:r>
            <w:r w:rsidDel="00000000" w:rsidR="00000000" w:rsidRPr="00000000">
              <w:rPr>
                <w:rtl w:val="0"/>
              </w:rPr>
              <w:t xml:space="preserve">EduTutor AI is an AI-powered educational assistant that personalizes the learning experience.</w:t>
            </w:r>
            <w:r w:rsidDel="00000000" w:rsidR="00000000" w:rsidRPr="00000000">
              <w:rPr>
                <w:rFonts w:ascii="Calibri" w:cs="Calibri" w:eastAsia="Calibri" w:hAnsi="Calibri"/>
                <w:rtl w:val="0"/>
              </w:rPr>
              <w:t xml:space="preserve">.</w:t>
            </w:r>
          </w:p>
        </w:tc>
      </w:tr>
      <w:tr>
        <w:trPr>
          <w:cantSplit w:val="0"/>
          <w:tblHeader w:val="0"/>
        </w:trPr>
        <w:tc>
          <w:tcPr>
            <w:vAlign w:val="center"/>
          </w:tcPr>
          <w:p w:rsidR="00000000" w:rsidDel="00000000" w:rsidP="00000000" w:rsidRDefault="00000000" w:rsidRPr="00000000" w14:paraId="0000001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vAlign w:val="center"/>
          </w:tcPr>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Novelty / Uniqueness</w:t>
            </w:r>
          </w:p>
        </w:tc>
        <w:tc>
          <w:tcPr>
            <w:vAlign w:val="center"/>
          </w:tcPr>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tl w:val="0"/>
              </w:rPr>
              <w:t xml:space="preserve">It allows dynamic quiz creation on any synced subject and provides automated evaluation with scoring and a performance dashboard, all in a user-friendly Gradio interface.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01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Social Impact / Customer Satisfaction</w:t>
            </w:r>
          </w:p>
        </w:tc>
        <w:tc>
          <w:tcPr>
            <w:vAlign w:val="center"/>
          </w:tcPr>
          <w:p w:rsidR="00000000" w:rsidDel="00000000" w:rsidP="00000000" w:rsidRDefault="00000000" w:rsidRPr="00000000" w14:paraId="0000001D">
            <w:pPr>
              <w:spacing w:after="0" w:line="240" w:lineRule="auto"/>
              <w:rPr>
                <w:rFonts w:ascii="Calibri" w:cs="Calibri" w:eastAsia="Calibri" w:hAnsi="Calibri"/>
              </w:rPr>
            </w:pPr>
            <w:r w:rsidDel="00000000" w:rsidR="00000000" w:rsidRPr="00000000">
              <w:rPr>
                <w:rtl w:val="0"/>
              </w:rPr>
              <w:t xml:space="preserve">EduTutor AI enhances accessibility and personalization in education. It empowers students with adaptive learning, helps teachers save time, and provides low-cost AI-based education tools, thereby reducing learning disparities—especially beneficial in remote or underserved areas.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vAlign w:val="center"/>
          </w:tcPr>
          <w:p w:rsidR="00000000" w:rsidDel="00000000" w:rsidP="00000000" w:rsidRDefault="00000000" w:rsidRPr="00000000" w14:paraId="0000001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Business Model (Revenue Model)</w:t>
            </w:r>
          </w:p>
        </w:tc>
        <w:tc>
          <w:tcPr>
            <w:vAlign w:val="center"/>
          </w:tcPr>
          <w:p w:rsidR="00000000" w:rsidDel="00000000" w:rsidP="00000000" w:rsidRDefault="00000000" w:rsidRPr="00000000" w14:paraId="0000002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Freemium: basic adaptive quizzes free for individual teachers; Premium tier ($5–10/user/mo) unlocks advanced analytics, district-wide reporting, Single Sign-On integrations, and priority support for schools and educational networks.</w:t>
            </w:r>
          </w:p>
        </w:tc>
      </w:tr>
      <w:tr>
        <w:trPr>
          <w:cantSplit w:val="0"/>
          <w:tblHeader w:val="0"/>
        </w:trPr>
        <w:tc>
          <w:tcPr>
            <w:vAlign w:val="center"/>
          </w:tcPr>
          <w:p w:rsidR="00000000" w:rsidDel="00000000" w:rsidP="00000000" w:rsidRDefault="00000000" w:rsidRPr="00000000" w14:paraId="0000002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vAlign w:val="center"/>
          </w:tcPr>
          <w:p w:rsidR="00000000" w:rsidDel="00000000" w:rsidP="00000000" w:rsidRDefault="00000000" w:rsidRPr="00000000" w14:paraId="0000002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Scalability of the Solution</w:t>
            </w:r>
          </w:p>
        </w:tc>
        <w:tc>
          <w:tcPr>
            <w:vAlign w:val="center"/>
          </w:tcPr>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tl w:val="0"/>
              </w:rPr>
              <w:t xml:space="preserve">The solution can scale to support additional subjects, languages, and education boards. It can be integrated with more LMS platforms (like Moodle, Canvas), and deployed across schools, colleges, and training institutes globally via cloud platforms like IBM Cloud.</w:t>
            </w: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8bLdagBUBO8UKCZtvAQf2nkMQ==">CgMxLjA4AHIhMXAzM0oxZEVBZEVhMml6cm9yWmJ0YkRGUGJKRFZ4SEtL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2025-06-26T18:03:00Z</dcterms:created>
  <dc:creator>Amarender Katkam</dc:creator>
</cp:coreProperties>
</file>