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948912cfccebf616a6ab064c33981a97c5ef4e"/>
    <w:p>
      <w:pPr>
        <w:pStyle w:val="Heading1"/>
      </w:pPr>
      <w:r>
        <w:t xml:space="preserve">GNPS Civic Readiness Portal — IT Handoff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Great Neck Public Schools Technology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Social Studies Department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NYS Seal of Civic Readiness tracking portal — integration asks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4, 2026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An open-source web portal for tracking the New York State Seal of Civic Readiness — the +1 Diploma Pathway distinction approved by the NYS Board of Regents in 2021. The portal collects civic-knowledge data (auto-pulled from Infinite Campus where possible) and civic-participation evidence (service hours, projects, capstones submitted by students with supervisor and counselor verification). At year-end it produces a NYSED-compliant audit pack and a roster CSV for the transcript office.</w:t>
      </w:r>
    </w:p>
    <w:p>
      <w:pPr>
        <w:pStyle w:val="BodyText"/>
      </w:pPr>
      <w:r>
        <w:rPr>
          <w:b/>
          <w:bCs/>
        </w:rPr>
        <w:t xml:space="preserve">Phase 1 has zero IT dependency.</w:t>
      </w:r>
      <w:r>
        <w:t xml:space="preserve"> </w:t>
      </w:r>
      <w:r>
        <w:t xml:space="preserve">The application ships on free-tier SaaS (Vercel + Supabase + Resend), runs at $0/mo, and gives Social Studies a working URL within ~4 weeks of development start.</w:t>
      </w:r>
    </w:p>
    <w:p>
      <w:pPr>
        <w:pStyle w:val="BodyText"/>
      </w:pPr>
      <w:r>
        <w:t xml:space="preserve">The items below are required only to</w:t>
      </w:r>
      <w:r>
        <w:t xml:space="preserve"> </w:t>
      </w:r>
      <w:r>
        <w:rPr>
          <w:b/>
          <w:bCs/>
        </w:rPr>
        <w:t xml:space="preserve">promote from Phase 1 (staff pilot) to Phase 2 (full launch with student-facing portal, district SSO, and live Infinite Campus integration).</w:t>
      </w:r>
      <w:r>
        <w:t xml:space="preserve"> </w:t>
      </w:r>
      <w:r>
        <w:t xml:space="preserve">They are listed in the order they typically need to be addressed.</w:t>
      </w:r>
    </w:p>
    <w:p>
      <w:r>
        <w:pict>
          <v:rect style="width:0;height:1.5pt" o:hralign="center" o:hrstd="t" o:hr="t"/>
        </w:pict>
      </w:r>
    </w:p>
    <w:bookmarkEnd w:id="9"/>
    <w:bookmarkStart w:id="10" w:name="what-were-asking-of-gnps-technology"/>
    <w:p>
      <w:pPr>
        <w:pStyle w:val="Heading2"/>
      </w:pPr>
      <w:r>
        <w:t xml:space="preserve">What we’re asking of GNPS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NYSED district application (Application Business Portal) — gates</w:t>
            </w:r>
            <w:r>
              <w:t xml:space="preserve"> </w:t>
            </w:r>
            <w:r>
              <w:rPr>
                <w:i/>
                <w:iCs/>
              </w:rPr>
              <w:t xml:space="preserve">awarding</w:t>
            </w:r>
            <w:r>
              <w:t xml:space="preserve"> </w:t>
            </w:r>
            <w:r>
              <w:t xml:space="preserve">of seals on transcripts</w:t>
            </w:r>
          </w:p>
        </w:tc>
        <w:tc>
          <w:tcPr/>
          <w:p>
            <w:pPr>
              <w:pStyle w:val="Compact"/>
            </w:pPr>
            <w:r>
              <w:t xml:space="preserve">~30 days state review</w:t>
            </w:r>
          </w:p>
        </w:tc>
        <w:tc>
          <w:tcPr/>
          <w:p>
            <w:pPr>
              <w:pStyle w:val="Compact"/>
            </w:pPr>
            <w:r>
              <w:t xml:space="preserve">Curriculum &amp; Instruction (not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Domain CNAME — point</w:t>
            </w:r>
            <w:r>
              <w:t xml:space="preserve"> </w:t>
            </w:r>
            <w:r>
              <w:rPr>
                <w:rStyle w:val="VerbatimChar"/>
              </w:rPr>
              <w:t xml:space="preserve">civicseal.greatneck.k12.ny.us</w:t>
            </w:r>
            <w:r>
              <w:t xml:space="preserve"> </w:t>
            </w:r>
            <w:r>
              <w:t xml:space="preserve">(or chosen subdomain) to Vercel</w:t>
            </w:r>
          </w:p>
        </w:tc>
        <w:tc>
          <w:tcPr/>
          <w:p>
            <w:pPr>
              <w:pStyle w:val="Compact"/>
            </w:pPr>
            <w:r>
              <w:t xml:space="preserve">~5 minutes</w:t>
            </w:r>
          </w:p>
        </w:tc>
        <w:tc>
          <w:tcPr/>
          <w:p>
            <w:pPr>
              <w:pStyle w:val="Compact"/>
            </w:pPr>
            <w:r>
              <w:t xml:space="preserve">Network/DNS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FERPA / privacy review of the Phase 1 architecture (Supabase US-East, encrypted at rest + in transit, role-based access, full audit log); sign Supabase DPA if district policy requires</w:t>
            </w:r>
          </w:p>
        </w:tc>
        <w:tc>
          <w:tcPr/>
          <w:p>
            <w:pPr>
              <w:pStyle w:val="Compact"/>
            </w:pPr>
            <w:r>
              <w:t xml:space="preserve">~1–2 hours</w:t>
            </w:r>
          </w:p>
        </w:tc>
        <w:tc>
          <w:tcPr/>
          <w:p>
            <w:pPr>
              <w:pStyle w:val="Compact"/>
            </w:pPr>
            <w:r>
              <w:t xml:space="preserve">Privacy/Compliance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SSO integration — choose ClassLink / Google Workspace / Azure AD; configurable in Supabase Auth providers (no application code change)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  <w:tc>
          <w:tcPr/>
          <w:p>
            <w:pPr>
              <w:pStyle w:val="Compact"/>
            </w:pPr>
            <w:r>
              <w:t xml:space="preserve">Identity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Infinite Campus integration — read access to roster, course enrollment, Regents scores. Either OneRoster API or nightly CSV/SFTP export works</w:t>
            </w:r>
          </w:p>
        </w:tc>
        <w:tc>
          <w:tcPr/>
          <w:p>
            <w:pPr>
              <w:pStyle w:val="Compact"/>
            </w:pPr>
            <w:r>
              <w:t xml:space="preserve">~2–4 hours scoping; setup varies</w:t>
            </w:r>
          </w:p>
        </w:tc>
        <w:tc>
          <w:tcPr/>
          <w:p>
            <w:pPr>
              <w:pStyle w:val="Compact"/>
            </w:pPr>
            <w:r>
              <w:t xml:space="preserve">SIS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Email reputation — supervisor confirmations send from</w:t>
            </w:r>
            <w:r>
              <w:t xml:space="preserve"> </w:t>
            </w:r>
            <w:r>
              <w:rPr>
                <w:rStyle w:val="VerbatimChar"/>
              </w:rPr>
              <w:t xml:space="preserve">civicseal@greatneck.k12.ny.us</w:t>
            </w:r>
            <w:r>
              <w:t xml:space="preserve">. Either use district SMTP creds, or keep Resend and add SPF/DKIM records to GNPS DNS for the subdomain</w:t>
            </w:r>
          </w:p>
        </w:tc>
        <w:tc>
          <w:tcPr/>
          <w:p>
            <w:pPr>
              <w:pStyle w:val="Compact"/>
            </w:pPr>
            <w:r>
              <w:t xml:space="preserve">~30 minutes</w:t>
            </w:r>
          </w:p>
        </w:tc>
        <w:tc>
          <w:tcPr/>
          <w:p>
            <w:pPr>
              <w:pStyle w:val="Compact"/>
            </w:pPr>
            <w:r>
              <w:t xml:space="preserve">Email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Website integration — choose one of: (A)</w:t>
            </w:r>
            <w:r>
              <w:t xml:space="preserve"> </w:t>
            </w:r>
            <w:r>
              <w:rPr>
                <w:b/>
                <w:bCs/>
              </w:rPr>
              <w:t xml:space="preserve">subdomain CNAME</w:t>
            </w:r>
            <w:r>
              <w:t xml:space="preserve"> </w:t>
            </w:r>
            <w:r>
              <w:t xml:space="preserve">[recommended], (B) iframe embed in Finalsite page, (C) reverse proxy via Finalsite or Cloudflare</w:t>
            </w:r>
          </w:p>
        </w:tc>
        <w:tc>
          <w:tcPr/>
          <w:p>
            <w:pPr>
              <w:pStyle w:val="Compact"/>
            </w:pPr>
            <w:r>
              <w:t xml:space="preserve">A: 5 min · B: 30 min · C: ½ day</w:t>
            </w:r>
          </w:p>
        </w:tc>
        <w:tc>
          <w:tcPr/>
          <w:p>
            <w:pPr>
              <w:pStyle w:val="Compact"/>
            </w:pPr>
            <w:r>
              <w:t xml:space="preserve">Web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Long-term hosting decision — keep free-tier Vercel + Supabase under a district-paid account (handles GNPS scale for years), or self-host the same code on GNPS infrastructure. No code changes either way</w:t>
            </w:r>
          </w:p>
        </w:tc>
        <w:tc>
          <w:tcPr/>
          <w:p>
            <w:pPr>
              <w:pStyle w:val="Compact"/>
            </w:pPr>
            <w:r>
              <w:t xml:space="preserve">District policy decision</w:t>
            </w:r>
          </w:p>
        </w:tc>
        <w:tc>
          <w:tcPr/>
          <w:p>
            <w:pPr>
              <w:pStyle w:val="Compact"/>
            </w:pPr>
            <w:r>
              <w:t xml:space="preserve">IT 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chitecture-summary-phase-2-target"/>
    <w:p>
      <w:pPr>
        <w:pStyle w:val="Heading2"/>
      </w:pPr>
      <w:r>
        <w:t xml:space="preserve">Architecture summary (Phase 2 target)</w:t>
      </w:r>
    </w:p>
    <w:p>
      <w:pPr>
        <w:pStyle w:val="SourceCode"/>
      </w:pPr>
      <w:r>
        <w:rPr>
          <w:rStyle w:val="VerbatimChar"/>
        </w:rPr>
        <w:t xml:space="preserve">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Students ─────▶    │  civicseal.greatneck.k12.ny.us  │</w:t>
      </w:r>
      <w:r>
        <w:br/>
      </w:r>
      <w:r>
        <w:rPr>
          <w:rStyle w:val="VerbatimChar"/>
        </w:rPr>
        <w:t xml:space="preserve">   Counselors ───▶    │     (Vercel · SvelteKit app)    │</w:t>
      </w:r>
      <w:r>
        <w:br/>
      </w:r>
      <w:r>
        <w:rPr>
          <w:rStyle w:val="VerbatimChar"/>
        </w:rPr>
        <w:t xml:space="preserve">   SCRC ─────────▶    └────────┬────────────────────────┘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┌───────┴──────────────────────────┐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                               │</w:t>
      </w:r>
      <w:r>
        <w:br/>
      </w:r>
      <w:r>
        <w:rPr>
          <w:rStyle w:val="VerbatimChar"/>
        </w:rPr>
        <w:t xml:space="preserve">                       ▼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             ┌──────────────────┐</w:t>
      </w:r>
      <w:r>
        <w:br/>
      </w:r>
      <w:r>
        <w:rPr>
          <w:rStyle w:val="VerbatimChar"/>
        </w:rPr>
        <w:t xml:space="preserve">              │  Supabase        │             │  GNPS Identity   │</w:t>
      </w:r>
      <w:r>
        <w:br/>
      </w:r>
      <w:r>
        <w:rPr>
          <w:rStyle w:val="VerbatimChar"/>
        </w:rPr>
        <w:t xml:space="preserve">              │  Postgres + Auth │             │  Provider (SSO)  │</w:t>
      </w:r>
      <w:r>
        <w:br/>
      </w:r>
      <w:r>
        <w:rPr>
          <w:rStyle w:val="VerbatimChar"/>
        </w:rPr>
        <w:t xml:space="preserve">              │  (FERPA-DPA'd)   │             │  ClassLink/      │</w:t>
      </w:r>
      <w:r>
        <w:br/>
      </w:r>
      <w:r>
        <w:rPr>
          <w:rStyle w:val="VerbatimChar"/>
        </w:rPr>
        <w:t xml:space="preserve">              └────┬─────────────┘             │  Google/Azure    │</w:t>
      </w:r>
      <w:r>
        <w:br/>
      </w:r>
      <w:r>
        <w:rPr>
          <w:rStyle w:val="VerbatimChar"/>
        </w:rPr>
        <w:t xml:space="preserve">                   │    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│ nightly sync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┌──────────────────────┐</w:t>
      </w:r>
      <w:r>
        <w:br/>
      </w:r>
      <w:r>
        <w:rPr>
          <w:rStyle w:val="VerbatimChar"/>
        </w:rPr>
        <w:t xml:space="preserve">          │  Infinite Campus     │</w:t>
      </w:r>
      <w:r>
        <w:br/>
      </w:r>
      <w:r>
        <w:rPr>
          <w:rStyle w:val="VerbatimChar"/>
        </w:rPr>
        <w:t xml:space="preserve">          │  (OneRoster API or   │</w:t>
      </w:r>
      <w:r>
        <w:br/>
      </w:r>
      <w:r>
        <w:rPr>
          <w:rStyle w:val="VerbatimChar"/>
        </w:rPr>
        <w:t xml:space="preserve">          │   SFTP CSV export)   │</w:t>
      </w:r>
      <w:r>
        <w:br/>
      </w:r>
      <w:r>
        <w:rPr>
          <w:rStyle w:val="VerbatimChar"/>
        </w:rPr>
        <w:t xml:space="preserve">   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Email out: Resend → SPF/DKIM-aligned to greatneck.k12.ny.us</w:t>
      </w:r>
    </w:p>
    <w:p>
      <w:r>
        <w:pict>
          <v:rect style="width:0;height:1.5pt" o:hralign="center" o:hrstd="t" o:hr="t"/>
        </w:pict>
      </w:r>
    </w:p>
    <w:bookmarkEnd w:id="11"/>
    <w:bookmarkStart w:id="12" w:name="cost-trajectory"/>
    <w:p>
      <w:pPr>
        <w:pStyle w:val="Heading2"/>
      </w:pPr>
      <w:r>
        <w:t xml:space="preserve">Cost trajectory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(free tiers)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(typical at GNPS scale)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$0–25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$0–25/mo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alternative</w:t>
            </w:r>
          </w:p>
        </w:tc>
        <w:tc>
          <w:tcPr/>
          <w:p>
            <w:pPr>
              <w:pStyle w:val="Compact"/>
            </w:pPr>
            <w:r>
              <w:t xml:space="preserve">GNPS infrastructure + ops time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District SMTP or Resend</w:t>
            </w:r>
          </w:p>
        </w:tc>
        <w:tc>
          <w:tcPr/>
          <w:p>
            <w:pPr>
              <w:pStyle w:val="Compact"/>
            </w:pPr>
            <w:r>
              <w:t xml:space="preserve">District-internal cost</w:t>
            </w:r>
          </w:p>
        </w:tc>
      </w:tr>
    </w:tbl>
    <w:p>
      <w:pPr>
        <w:pStyle w:val="BodyText"/>
      </w:pPr>
      <w:r>
        <w:t xml:space="preserve">GNPS scale (~6,800 students; ~412 per graduating class) fits comfortably within all three free tiers for years. Supabase Pro at $25/mo only becomes relevant if the district wants daily backups beyond the free-tier point-in-time recovery, or if the database exceeds 500 MB (unlikely until ~year 5 at GNPS scale).</w:t>
      </w:r>
    </w:p>
    <w:p>
      <w:r>
        <w:pict>
          <v:rect style="width:0;height:1.5pt" o:hralign="center" o:hrstd="t" o:hr="t"/>
        </w:pict>
      </w:r>
    </w:p>
    <w:bookmarkEnd w:id="12"/>
    <w:bookmarkStart w:id="13" w:name="what-we-are-not-asking"/>
    <w:p>
      <w:pPr>
        <w:pStyle w:val="Heading2"/>
      </w:pPr>
      <w:r>
        <w:t xml:space="preserve">What we are NOT asking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new infrastructure procurement.</w:t>
      </w:r>
      <w:r>
        <w:t xml:space="preserve"> </w:t>
      </w:r>
      <w:r>
        <w:t xml:space="preserve">Phase 1 doesn’t touch GNPS infra.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vendor contracts to negotiate.</w:t>
      </w:r>
      <w:r>
        <w:t xml:space="preserve"> </w:t>
      </w:r>
      <w:r>
        <w:t xml:space="preserve">All Phase 1 services are usable on free tiers under district-owned accounts or under existing personal accounts during pilot.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proprietary lock-in.</w:t>
      </w:r>
      <w:r>
        <w:t xml:space="preserve"> </w:t>
      </w:r>
      <w:r>
        <w:t xml:space="preserve">Codebase is MIT-licensed and portable. If the district later decides to self-host, that path is supported with no application code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student data leaves the United States.</w:t>
      </w:r>
      <w:r>
        <w:t xml:space="preserve"> </w:t>
      </w:r>
      <w:r>
        <w:t xml:space="preserve">Supabase US-East region is the only data-residency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CMS migration.</w:t>
      </w:r>
      <w:r>
        <w:t xml:space="preserve"> </w:t>
      </w:r>
      <w:r>
        <w:t xml:space="preserve">Finalsite stays as-is. Integration option A (recommended) is just a DNS CNAME alongside existing Finalsite hosting.</w:t>
      </w:r>
    </w:p>
    <w:p>
      <w:r>
        <w:pict>
          <v:rect style="width:0;height:1.5pt" o:hralign="center" o:hrstd="t" o:hr="t"/>
        </w:pict>
      </w:r>
    </w:p>
    <w:bookmarkEnd w:id="13"/>
    <w:bookmarkStart w:id="14" w:name="why-this-benefits-gnps"/>
    <w:p>
      <w:pPr>
        <w:pStyle w:val="Heading2"/>
      </w:pPr>
      <w:r>
        <w:t xml:space="preserve">Why this benefits GNPS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Closes a competitive gap.</w:t>
      </w:r>
      <w:r>
        <w:t xml:space="preserve"> </w:t>
      </w:r>
      <w:r>
        <w:t xml:space="preserve">Peer Long Island districts (Seaford, 3 Village, Connetquot) already publish Seal of Civic Readiness pages. GNPS has no program; this fixes that on a fast timeline.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than peer implementations.</w:t>
      </w:r>
      <w:r>
        <w:t xml:space="preserve"> </w:t>
      </w:r>
      <w:r>
        <w:t xml:space="preserve">Peer districts use Microsoft / Google Forms feeding counselor inboxes — no central tracker, manual roll-up, end-of-year crunch. The proposed system gives counselors a live roster and produces NYSED audit packs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Open-source positioning.</w:t>
      </w:r>
      <w:r>
        <w:t xml:space="preserve"> </w:t>
      </w:r>
      <w:r>
        <w:t xml:space="preserve">Repo is MIT-licensed and forkable. Other NYS districts can adopt the GNPS implementation rather than building their own — a leadership artifact for Curriculum &amp; Instruction and the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Phased risk.</w:t>
      </w:r>
      <w:r>
        <w:t xml:space="preserve"> </w:t>
      </w:r>
      <w:r>
        <w:t xml:space="preserve">Phase 1 is reversible. If the system doesn’t deliver value in pilot, IT involvement never escalates. If it does, Phase 2 promotion is well-scoped.</w:t>
      </w:r>
    </w:p>
    <w:p>
      <w:r>
        <w:pict>
          <v:rect style="width:0;height:1.5pt" o:hralign="center" o:hrstd="t" o:hr="t"/>
        </w:pict>
      </w:r>
    </w:p>
    <w:bookmarkEnd w:id="14"/>
    <w:bookmarkStart w:id="15" w:name="repository-contact"/>
    <w:p>
      <w:pPr>
        <w:pStyle w:val="Heading2"/>
      </w:pPr>
      <w:r>
        <w:t xml:space="preserve">Repository &amp; contact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github.com/&lt;author&gt;/civic-readiness-portal</w:t>
      </w:r>
      <w:r>
        <w:t xml:space="preserve"> </w:t>
      </w:r>
      <w:r>
        <w:t xml:space="preserve">(private during development; public on launch approval; transferable to GNPS-owned org)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Jon — Social Studies Department, Great Neck Public Schools</w:t>
      </w:r>
    </w:p>
    <w:p>
      <w:pPr>
        <w:pStyle w:val="FirstParagraph"/>
      </w:pPr>
      <w:r>
        <w:t xml:space="preserve">The full design document (architecture, data model, user flows, NYSED compliance mapping, repository structure, risks) is available as a 27-page companion PDF/DOCX.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2026-05-04T18:28:31Z</dcterms:created>
  <dcterms:modified xsi:type="dcterms:W3CDTF">2026-05-04T18:28:31Z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