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B100E"/>
  <w:body>
    <w:p>
      <w:pPr>
        <w:spacing w:before="0" w:after="180" w:line="300" w:lineRule="auto"/>
      </w:pPr>
      <w:r>
        <w:rPr>
          <w:rFonts w:ascii="Hiragino Sans GB" w:hAnsi="Hiragino Sans GB" w:eastAsia="Hiragino Sans GB"/>
          <w:b/>
          <w:color w:val="49DCC0"/>
          <w:sz w:val="18"/>
        </w:rPr>
        <w:t>PRODUCT LICENSE  /  GODOT 2D PIPELINE</w:t>
      </w:r>
    </w:p>
    <w:p>
      <w:pPr>
        <w:spacing w:before="0" w:after="160"/>
      </w:pPr>
      <w:r>
        <w:rPr>
          <w:rFonts w:ascii="Hiragino Sans GB" w:hAnsi="Hiragino Sans GB" w:eastAsia="Hiragino Sans GB"/>
          <w:b/>
          <w:color w:val="F4F1E8"/>
          <w:sz w:val="60"/>
        </w:rPr>
        <w:t>XSXB Frame Tuner</w:t>
      </w:r>
    </w:p>
    <w:p>
      <w:pPr>
        <w:spacing w:before="0" w:after="280"/>
      </w:pPr>
      <w:r>
        <w:rPr>
          <w:rFonts w:ascii="Hiragino Sans GB" w:hAnsi="Hiragino Sans GB" w:eastAsia="Hiragino Sans GB"/>
          <w:i/>
          <w:color w:val="A9B0A9"/>
          <w:sz w:val="26"/>
        </w:rPr>
        <w:t>Pro 激活码 · 商品详情与图文使用说明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49DCC0"/>
            <w:tcBorders>
              <w:top w:val="single" w:sz="14" w:color="090C0B"/>
              <w:start w:val="single" w:sz="14" w:color="090C0B"/>
              <w:bottom w:val="single" w:sz="14" w:color="090C0B"/>
              <w:end w:val="single" w:sz="14" w:color="090C0B"/>
              <w:insideH w:val="single" w:sz="14" w:color="090C0B"/>
              <w:insideV w:val="single" w:sz="14" w:color="090C0B"/>
            </w:tcBorders>
          </w:tcPr>
          <w:p>
            <w:pPr>
              <w:spacing w:before="100" w:after="100"/>
              <w:jc w:val="center"/>
            </w:pPr>
            <w:r>
              <w:rPr>
                <w:rFonts w:ascii="Hiragino Sans GB" w:hAnsi="Hiragino Sans GB" w:eastAsia="Hiragino Sans GB"/>
                <w:b/>
                <w:color w:val="090C0B"/>
                <w:sz w:val="19"/>
              </w:rPr>
              <w:t>本地优先</w:t>
            </w:r>
          </w:p>
        </w:tc>
        <w:tc>
          <w:tcPr>
            <w:tcW w:type="dxa" w:w="23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C948"/>
            <w:tcBorders>
              <w:top w:val="single" w:sz="14" w:color="090C0B"/>
              <w:start w:val="single" w:sz="14" w:color="090C0B"/>
              <w:bottom w:val="single" w:sz="14" w:color="090C0B"/>
              <w:end w:val="single" w:sz="14" w:color="090C0B"/>
              <w:insideH w:val="single" w:sz="14" w:color="090C0B"/>
              <w:insideV w:val="single" w:sz="14" w:color="090C0B"/>
            </w:tcBorders>
          </w:tcPr>
          <w:p>
            <w:pPr>
              <w:spacing w:before="100" w:after="100"/>
              <w:jc w:val="center"/>
            </w:pPr>
            <w:r>
              <w:rPr>
                <w:rFonts w:ascii="Hiragino Sans GB" w:hAnsi="Hiragino Sans GB" w:eastAsia="Hiragino Sans GB"/>
                <w:b/>
                <w:color w:val="090C0B"/>
                <w:sz w:val="19"/>
              </w:rPr>
              <w:t>逐帧调参</w:t>
            </w:r>
          </w:p>
        </w:tc>
        <w:tc>
          <w:tcPr>
            <w:tcW w:type="dxa" w:w="23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694A"/>
            <w:tcBorders>
              <w:top w:val="single" w:sz="14" w:color="090C0B"/>
              <w:start w:val="single" w:sz="14" w:color="090C0B"/>
              <w:bottom w:val="single" w:sz="14" w:color="090C0B"/>
              <w:end w:val="single" w:sz="14" w:color="090C0B"/>
              <w:insideH w:val="single" w:sz="14" w:color="090C0B"/>
              <w:insideV w:val="single" w:sz="14" w:color="090C0B"/>
            </w:tcBorders>
          </w:tcPr>
          <w:p>
            <w:pPr>
              <w:spacing w:before="100" w:after="100"/>
              <w:jc w:val="center"/>
            </w:pPr>
            <w:r>
              <w:rPr>
                <w:rFonts w:ascii="Hiragino Sans GB" w:hAnsi="Hiragino Sans GB" w:eastAsia="Hiragino Sans GB"/>
                <w:b/>
                <w:color w:val="090C0B"/>
                <w:sz w:val="19"/>
              </w:rPr>
              <w:t>高级抠图</w:t>
            </w:r>
          </w:p>
        </w:tc>
        <w:tc>
          <w:tcPr>
            <w:tcW w:type="dxa" w:w="23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49DCC0"/>
            <w:tcBorders>
              <w:top w:val="single" w:sz="14" w:color="090C0B"/>
              <w:start w:val="single" w:sz="14" w:color="090C0B"/>
              <w:bottom w:val="single" w:sz="14" w:color="090C0B"/>
              <w:end w:val="single" w:sz="14" w:color="090C0B"/>
              <w:insideH w:val="single" w:sz="14" w:color="090C0B"/>
              <w:insideV w:val="single" w:sz="14" w:color="090C0B"/>
            </w:tcBorders>
          </w:tcPr>
          <w:p>
            <w:pPr>
              <w:spacing w:before="100" w:after="100"/>
              <w:jc w:val="center"/>
            </w:pPr>
            <w:r>
              <w:rPr>
                <w:rFonts w:ascii="Hiragino Sans GB" w:hAnsi="Hiragino Sans GB" w:eastAsia="Hiragino Sans GB"/>
                <w:b/>
                <w:color w:val="090C0B"/>
                <w:sz w:val="19"/>
              </w:rPr>
              <w:t>Godot 2D</w:t>
            </w:r>
          </w:p>
        </w:tc>
      </w:tr>
    </w:tbl>
    <w:p>
      <w:pPr>
        <w:spacing w:after="40"/>
      </w:pPr>
    </w:p>
    <w:p>
      <w:pPr>
        <w:spacing w:before="0" w:after="200" w:line="300" w:lineRule="auto"/>
      </w:pPr>
      <w:r>
        <w:rPr>
          <w:rFonts w:ascii="Hiragino Sans GB" w:hAnsi="Hiragino Sans GB" w:eastAsia="Hiragino Sans GB"/>
          <w:b/>
          <w:color w:val="F4F1E8"/>
          <w:sz w:val="26"/>
        </w:rPr>
        <w:t>把散乱的图片序列或视频帧，整理成可预览、可调参、可复用的动画包。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orkspac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Hiragino Sans GB" w:hAnsi="Hiragino Sans GB" w:eastAsia="Hiragino Sans GB"/>
          <w:i/>
          <w:color w:val="A9B0A9"/>
          <w:sz w:val="17"/>
        </w:rPr>
        <w:t>XSXB Frame Tuner 深色工作台：项目、画布、调参面板与帧时间轴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2" w:color="344039"/>
              <w:start w:val="single" w:sz="12" w:color="344039"/>
              <w:bottom w:val="single" w:sz="12" w:color="344039"/>
              <w:end w:val="single" w:sz="12" w:color="344039"/>
              <w:insideH w:val="single" w:sz="12" w:color="344039"/>
              <w:insideV w:val="single" w:sz="12" w:color="344039"/>
            </w:tcBorders>
            <w:shd w:fill="F7C948"/>
          </w:tcPr>
          <w:p>
            <w:pPr>
              <w:spacing w:before="80" w:after="80"/>
              <w:jc w:val="center"/>
            </w:pPr>
            <w:r>
              <w:rPr>
                <w:rFonts w:ascii="Hiragino Sans GB" w:hAnsi="Hiragino Sans GB" w:eastAsia="Hiragino Sans GB"/>
                <w:b/>
                <w:color w:val="090C0B"/>
                <w:sz w:val="19"/>
              </w:rPr>
              <w:t>商品性质</w:t>
            </w:r>
          </w:p>
        </w:tc>
        <w:tc>
          <w:tcPr>
            <w:tcW w:type="dxa" w:w="7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2" w:color="344039"/>
              <w:start w:val="single" w:sz="12" w:color="344039"/>
              <w:bottom w:val="single" w:sz="12" w:color="344039"/>
              <w:end w:val="single" w:sz="12" w:color="344039"/>
              <w:insideH w:val="single" w:sz="12" w:color="344039"/>
              <w:insideV w:val="single" w:sz="12" w:color="344039"/>
            </w:tcBorders>
            <w:shd w:fill="17221E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color w:val="F4F1E8"/>
                <w:sz w:val="19"/>
              </w:rPr>
              <w:t>虚拟激活码。用于解锁实际使用了 Pro 高级能力的动画包导出授权，不包含角色素材、音效、Godot 项目源码或定制服务。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商品详情文案</w:t>
      </w:r>
    </w:p>
    <w:p>
      <w:pPr>
        <w:pStyle w:val="Heading2"/>
      </w:pPr>
      <w:r>
        <w:t>推荐商品标题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/>
          <w:color w:val="F4F1E8"/>
          <w:sz w:val="24"/>
        </w:rPr>
        <w:t>XSXB Frame Tuner Pro 激活码｜Godot 2D 帧动画调参·批量抠图·碰撞框·音效/VFX</w:t>
      </w:r>
    </w:p>
    <w:p>
      <w:pPr>
        <w:pStyle w:val="Heading2"/>
      </w:pPr>
      <w:r>
        <w:t>商品简介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XSXB Frame Tuner 是面向 Godot 2D 帧动画制作的本地优先工作台。它把图片序列导入、视频取帧、帧排序与删减、批量抠图、逐帧调参、碰撞框、音效和图片挂件等流程集中到一个可视化界面中。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导入、基础处理、调参和本地保存无需激活；当导出的动画实际使用了 Pro 高级能力时，系统才会校验授权。购买并激活后，即可在授权有效期内继续完成相关动画包导出。</w:t>
      </w:r>
    </w:p>
    <w:p>
      <w:pPr>
        <w:pStyle w:val="Heading2"/>
      </w:pPr>
      <w:r>
        <w:t>四类核心能力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  <w:shd w:fill="121916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b/>
                <w:color w:val="49DCC0"/>
                <w:sz w:val="19"/>
              </w:rPr>
              <w:t>序列整理</w:t>
            </w:r>
          </w:p>
        </w:tc>
        <w:tc>
          <w:tcPr>
            <w:tcW w:type="dxa" w:w="66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  <w:shd w:fill="121916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color w:val="F4F1E8"/>
                <w:sz w:val="19"/>
              </w:rPr>
              <w:t>图片/视频导入、排序、删帧、翻转、循环与异常帧分析</w:t>
            </w:r>
          </w:p>
        </w:tc>
      </w:tr>
      <w:tr>
        <w:tc>
          <w:tcPr>
            <w:tcW w:type="dxa" w:w="27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  <w:shd w:fill="17221E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b/>
                <w:color w:val="49DCC0"/>
                <w:sz w:val="19"/>
              </w:rPr>
              <w:t>批量抠图</w:t>
            </w:r>
          </w:p>
        </w:tc>
        <w:tc>
          <w:tcPr>
            <w:tcW w:type="dxa" w:w="66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  <w:shd w:fill="17221E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color w:val="F4F1E8"/>
                <w:sz w:val="19"/>
              </w:rPr>
              <w:t>背景清除、边缘增强、去污、Alpha、保护与跨帧修复</w:t>
            </w:r>
          </w:p>
        </w:tc>
      </w:tr>
      <w:tr>
        <w:tc>
          <w:tcPr>
            <w:tcW w:type="dxa" w:w="27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  <w:shd w:fill="121916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b/>
                <w:color w:val="49DCC0"/>
                <w:sz w:val="19"/>
              </w:rPr>
              <w:t>动画调参</w:t>
            </w:r>
          </w:p>
        </w:tc>
        <w:tc>
          <w:tcPr>
            <w:tcW w:type="dxa" w:w="66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  <w:shd w:fill="121916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color w:val="F4F1E8"/>
                <w:sz w:val="19"/>
              </w:rPr>
              <w:t>角色级、动画组级、单帧级缩放、位置、旋转与禁用</w:t>
            </w:r>
          </w:p>
        </w:tc>
      </w:tr>
      <w:tr>
        <w:tc>
          <w:tcPr>
            <w:tcW w:type="dxa" w:w="27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  <w:shd w:fill="17221E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b/>
                <w:color w:val="49DCC0"/>
                <w:sz w:val="19"/>
              </w:rPr>
              <w:t>游戏数据</w:t>
            </w:r>
          </w:p>
        </w:tc>
        <w:tc>
          <w:tcPr>
            <w:tcW w:type="dxa" w:w="66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  <w:shd w:fill="17221E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color w:val="F4F1E8"/>
                <w:sz w:val="19"/>
              </w:rPr>
              <w:t>碰撞框、帧音效、图片挂件、VFX 图层与逐帧时长</w:t>
            </w:r>
          </w:p>
        </w:tc>
      </w:tr>
    </w:tbl>
    <w:p>
      <w:pPr>
        <w:pStyle w:val="Heading2"/>
      </w:pPr>
      <w:r>
        <w:t>为什么适合独立开发者</w:t>
      </w:r>
    </w:p>
    <w:p>
      <w:pPr>
        <w:pStyle w:val="ListBullet"/>
      </w:pPr>
      <w:r>
        <w:rPr>
          <w:rFonts w:ascii="Hiragino Sans GB" w:hAnsi="Hiragino Sans GB" w:eastAsia="Hiragino Sans GB"/>
          <w:color w:val="F4F1E8"/>
          <w:sz w:val="21"/>
        </w:rPr>
        <w:t>一站式完成素材整理、预览、处理、调参和导出，减少多工具切换。</w:t>
      </w:r>
    </w:p>
    <w:p>
      <w:pPr>
        <w:pStyle w:val="ListBullet"/>
      </w:pPr>
      <w:r>
        <w:rPr>
          <w:rFonts w:ascii="Hiragino Sans GB" w:hAnsi="Hiragino Sans GB" w:eastAsia="Hiragino Sans GB"/>
          <w:color w:val="F4F1E8"/>
          <w:sz w:val="21"/>
        </w:rPr>
        <w:t>按角色、动画组或单帧调整，既能做整体对齐，也能修正个别跳帧。</w:t>
      </w:r>
    </w:p>
    <w:p>
      <w:pPr>
        <w:pStyle w:val="ListBullet"/>
      </w:pPr>
      <w:r>
        <w:rPr>
          <w:rFonts w:ascii="Hiragino Sans GB" w:hAnsi="Hiragino Sans GB" w:eastAsia="Hiragino Sans GB"/>
          <w:color w:val="F4F1E8"/>
          <w:sz w:val="21"/>
        </w:rPr>
        <w:t>图片与视频由用户主动选择，核心处理流程在本机浏览器完成。</w:t>
      </w:r>
    </w:p>
    <w:p>
      <w:pPr>
        <w:pStyle w:val="ListBullet"/>
      </w:pPr>
      <w:r>
        <w:rPr>
          <w:rFonts w:ascii="Hiragino Sans GB" w:hAnsi="Hiragino Sans GB" w:eastAsia="Hiragino Sans GB"/>
          <w:color w:val="F4F1E8"/>
          <w:sz w:val="21"/>
        </w:rPr>
        <w:t>只在实际使用 Pro 高级能力的导出场景校验授权，基础编辑不被打断。</w:t>
      </w:r>
    </w:p>
    <w:p>
      <w:pPr>
        <w:pStyle w:val="Heading1"/>
      </w:pPr>
      <w:r>
        <w:t>Pro 能力与购买说明</w:t>
      </w:r>
    </w:p>
    <w:p>
      <w:pPr>
        <w:pStyle w:val="Heading2"/>
      </w:pPr>
      <w:r>
        <w:t>激活码覆盖的高级能力</w:t>
      </w:r>
    </w:p>
    <w:p>
      <w:pPr>
        <w:pStyle w:val="ListBullet"/>
      </w:pPr>
      <w:r>
        <w:rPr>
          <w:rFonts w:ascii="Hiragino Sans GB" w:hAnsi="Hiragino Sans GB" w:eastAsia="Hiragino Sans GB"/>
          <w:color w:val="F4F1E8"/>
          <w:sz w:val="21"/>
        </w:rPr>
        <w:t>边缘增强、去污与颜色恢复</w:t>
      </w:r>
    </w:p>
    <w:p>
      <w:pPr>
        <w:pStyle w:val="ListBullet"/>
      </w:pPr>
      <w:r>
        <w:rPr>
          <w:rFonts w:ascii="Hiragino Sans GB" w:hAnsi="Hiragino Sans GB" w:eastAsia="Hiragino Sans GB"/>
          <w:color w:val="F4F1E8"/>
          <w:sz w:val="21"/>
        </w:rPr>
        <w:t>高级 Alpha、柔性色键与连通清除</w:t>
      </w:r>
    </w:p>
    <w:p>
      <w:pPr>
        <w:pStyle w:val="ListBullet"/>
      </w:pPr>
      <w:r>
        <w:rPr>
          <w:rFonts w:ascii="Hiragino Sans GB" w:hAnsi="Hiragino Sans GB" w:eastAsia="Hiragino Sans GB"/>
          <w:color w:val="F4F1E8"/>
          <w:sz w:val="21"/>
        </w:rPr>
        <w:t>颜色保护、保护区域与局部修复</w:t>
      </w:r>
    </w:p>
    <w:p>
      <w:pPr>
        <w:pStyle w:val="ListBullet"/>
      </w:pPr>
      <w:r>
        <w:rPr>
          <w:rFonts w:ascii="Hiragino Sans GB" w:hAnsi="Hiragino Sans GB" w:eastAsia="Hiragino Sans GB"/>
          <w:color w:val="F4F1E8"/>
          <w:sz w:val="21"/>
        </w:rPr>
        <w:t>跨帧智能修复传播</w:t>
      </w:r>
    </w:p>
    <w:p>
      <w:pPr>
        <w:pStyle w:val="ListBullet"/>
      </w:pPr>
      <w:r>
        <w:rPr>
          <w:rFonts w:ascii="Hiragino Sans GB" w:hAnsi="Hiragino Sans GB" w:eastAsia="Hiragino Sans GB"/>
          <w:color w:val="F4F1E8"/>
          <w:sz w:val="21"/>
        </w:rPr>
        <w:t>跳变帧、重复帧与智能循环段分析</w:t>
      </w:r>
    </w:p>
    <w:p>
      <w:pPr>
        <w:pStyle w:val="ListBullet"/>
      </w:pPr>
      <w:r>
        <w:rPr>
          <w:rFonts w:ascii="Hiragino Sans GB" w:hAnsi="Hiragino Sans GB" w:eastAsia="Hiragino Sans GB"/>
          <w:color w:val="F4F1E8"/>
          <w:sz w:val="21"/>
        </w:rPr>
        <w:t>逐帧碰撞框调校</w:t>
      </w:r>
    </w:p>
    <w:p>
      <w:pPr>
        <w:pStyle w:val="ListBullet"/>
      </w:pPr>
      <w:r>
        <w:rPr>
          <w:rFonts w:ascii="Hiragino Sans GB" w:hAnsi="Hiragino Sans GB" w:eastAsia="Hiragino Sans GB"/>
          <w:color w:val="F4F1E8"/>
          <w:sz w:val="21"/>
        </w:rPr>
        <w:t>帧音效、图片挂件与 VFX 图层</w:t>
      </w:r>
    </w:p>
    <w:p>
      <w:pPr>
        <w:pStyle w:val="ListBullet"/>
      </w:pPr>
      <w:r>
        <w:rPr>
          <w:rFonts w:ascii="Hiragino Sans GB" w:hAnsi="Hiragino Sans GB" w:eastAsia="Hiragino Sans GB"/>
          <w:color w:val="F4F1E8"/>
          <w:sz w:val="21"/>
        </w:rPr>
        <w:t>逐帧时长与高级播放覆盖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2" w:color="344039"/>
              <w:start w:val="single" w:sz="12" w:color="344039"/>
              <w:bottom w:val="single" w:sz="12" w:color="344039"/>
              <w:end w:val="single" w:sz="12" w:color="344039"/>
              <w:insideH w:val="single" w:sz="12" w:color="344039"/>
              <w:insideV w:val="single" w:sz="12" w:color="344039"/>
            </w:tcBorders>
            <w:shd w:fill="49DCC0"/>
          </w:tcPr>
          <w:p>
            <w:pPr>
              <w:spacing w:before="80" w:after="80"/>
              <w:jc w:val="center"/>
            </w:pPr>
            <w:r>
              <w:rPr>
                <w:rFonts w:ascii="Hiragino Sans GB" w:hAnsi="Hiragino Sans GB" w:eastAsia="Hiragino Sans GB"/>
                <w:b/>
                <w:color w:val="090C0B"/>
                <w:sz w:val="19"/>
              </w:rPr>
              <w:t>授权边界</w:t>
            </w:r>
          </w:p>
        </w:tc>
        <w:tc>
          <w:tcPr>
            <w:tcW w:type="dxa" w:w="7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2" w:color="344039"/>
              <w:start w:val="single" w:sz="12" w:color="344039"/>
              <w:bottom w:val="single" w:sz="12" w:color="344039"/>
              <w:end w:val="single" w:sz="12" w:color="344039"/>
              <w:insideH w:val="single" w:sz="12" w:color="344039"/>
              <w:insideV w:val="single" w:sz="12" w:color="344039"/>
            </w:tcBorders>
            <w:shd w:fill="17221E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color w:val="F4F1E8"/>
                <w:sz w:val="19"/>
              </w:rPr>
              <w:t>通用导入和未使用 Pro 能力的普通导出不强制付费。最终以软件在导出时列出的实际 Pro 功能清单为准。</w:t>
            </w:r>
          </w:p>
        </w:tc>
      </w:tr>
    </w:tbl>
    <w:p>
      <w:pPr>
        <w:spacing w:after="40"/>
      </w:pPr>
    </w:p>
    <w:p>
      <w:pPr>
        <w:pStyle w:val="Heading2"/>
      </w:pPr>
      <w:r>
        <w:t>商品规格填写模板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21916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</w:tcPr>
          <w:p>
            <w:r>
              <w:rPr>
                <w:rFonts w:ascii="Hiragino Sans GB" w:hAnsi="Hiragino Sans GB" w:eastAsia="Hiragino Sans GB"/>
                <w:b/>
                <w:color w:val="49DCC0"/>
                <w:sz w:val="19"/>
              </w:rPr>
              <w:t>商品类型</w:t>
            </w:r>
          </w:p>
        </w:tc>
        <w:tc>
          <w:tcPr>
            <w:tcW w:type="dxa" w:w="66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21916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</w:tcPr>
          <w:p>
            <w:r>
              <w:rPr>
                <w:rFonts w:ascii="Hiragino Sans GB" w:hAnsi="Hiragino Sans GB" w:eastAsia="Hiragino Sans GB"/>
                <w:color w:val="F4F1E8"/>
                <w:sz w:val="19"/>
              </w:rPr>
              <w:t>虚拟商品 / 软件激活码</w:t>
            </w:r>
          </w:p>
        </w:tc>
      </w:tr>
      <w:tr>
        <w:tc>
          <w:tcPr>
            <w:tcW w:type="dxa" w:w="27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221E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</w:tcPr>
          <w:p>
            <w:r>
              <w:rPr>
                <w:rFonts w:ascii="Hiragino Sans GB" w:hAnsi="Hiragino Sans GB" w:eastAsia="Hiragino Sans GB"/>
                <w:b/>
                <w:color w:val="49DCC0"/>
                <w:sz w:val="19"/>
              </w:rPr>
              <w:t>设备数量</w:t>
            </w:r>
          </w:p>
        </w:tc>
        <w:tc>
          <w:tcPr>
            <w:tcW w:type="dxa" w:w="66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221E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</w:tcPr>
          <w:p>
            <w:r>
              <w:rPr>
                <w:rFonts w:ascii="Hiragino Sans GB" w:hAnsi="Hiragino Sans GB" w:eastAsia="Hiragino Sans GB"/>
                <w:color w:val="F4F1E8"/>
                <w:sz w:val="19"/>
              </w:rPr>
              <w:t>以当前购买规格为准：1 台、3 台或不限设备</w:t>
            </w:r>
          </w:p>
        </w:tc>
      </w:tr>
      <w:tr>
        <w:tc>
          <w:tcPr>
            <w:tcW w:type="dxa" w:w="27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21916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</w:tcPr>
          <w:p>
            <w:r>
              <w:rPr>
                <w:rFonts w:ascii="Hiragino Sans GB" w:hAnsi="Hiragino Sans GB" w:eastAsia="Hiragino Sans GB"/>
                <w:b/>
                <w:color w:val="49DCC0"/>
                <w:sz w:val="19"/>
              </w:rPr>
              <w:t>有效期</w:t>
            </w:r>
          </w:p>
        </w:tc>
        <w:tc>
          <w:tcPr>
            <w:tcW w:type="dxa" w:w="66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21916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</w:tcPr>
          <w:p>
            <w:r>
              <w:rPr>
                <w:rFonts w:ascii="Hiragino Sans GB" w:hAnsi="Hiragino Sans GB" w:eastAsia="Hiragino Sans GB"/>
                <w:color w:val="F4F1E8"/>
                <w:sz w:val="19"/>
              </w:rPr>
              <w:t>以当前购买规格为准：30 天、1 年或永久</w:t>
            </w:r>
          </w:p>
        </w:tc>
      </w:tr>
      <w:tr>
        <w:tc>
          <w:tcPr>
            <w:tcW w:type="dxa" w:w="27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221E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</w:tcPr>
          <w:p>
            <w:r>
              <w:rPr>
                <w:rFonts w:ascii="Hiragino Sans GB" w:hAnsi="Hiragino Sans GB" w:eastAsia="Hiragino Sans GB"/>
                <w:b/>
                <w:color w:val="49DCC0"/>
                <w:sz w:val="19"/>
              </w:rPr>
              <w:t>交付内容</w:t>
            </w:r>
          </w:p>
        </w:tc>
        <w:tc>
          <w:tcPr>
            <w:tcW w:type="dxa" w:w="66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221E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</w:tcPr>
          <w:p>
            <w:r>
              <w:rPr>
                <w:rFonts w:ascii="Hiragino Sans GB" w:hAnsi="Hiragino Sans GB" w:eastAsia="Hiragino Sans GB"/>
                <w:color w:val="F4F1E8"/>
                <w:sz w:val="19"/>
              </w:rPr>
              <w:t>XSXB Frame Tuner Pro 激活码 × 1</w:t>
            </w:r>
          </w:p>
        </w:tc>
      </w:tr>
      <w:tr>
        <w:tc>
          <w:tcPr>
            <w:tcW w:type="dxa" w:w="27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21916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</w:tcPr>
          <w:p>
            <w:r>
              <w:rPr>
                <w:rFonts w:ascii="Hiragino Sans GB" w:hAnsi="Hiragino Sans GB" w:eastAsia="Hiragino Sans GB"/>
                <w:b/>
                <w:color w:val="49DCC0"/>
                <w:sz w:val="19"/>
              </w:rPr>
              <w:t>使用入口</w:t>
            </w:r>
          </w:p>
        </w:tc>
        <w:tc>
          <w:tcPr>
            <w:tcW w:type="dxa" w:w="66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21916"/>
            <w:tcBorders>
              <w:top w:val="single" w:sz="10" w:color="344039"/>
              <w:start w:val="single" w:sz="10" w:color="344039"/>
              <w:bottom w:val="single" w:sz="10" w:color="344039"/>
              <w:end w:val="single" w:sz="10" w:color="344039"/>
              <w:insideH w:val="single" w:sz="10" w:color="344039"/>
              <w:insideV w:val="single" w:sz="10" w:color="344039"/>
            </w:tcBorders>
          </w:tcPr>
          <w:p>
            <w:r>
              <w:rPr>
                <w:rFonts w:ascii="Hiragino Sans GB" w:hAnsi="Hiragino Sans GB" w:eastAsia="Hiragino Sans GB"/>
                <w:color w:val="F4F1E8"/>
                <w:sz w:val="19"/>
              </w:rPr>
              <w:t>按发货说明提供的工作台地址或安装说明进入</w:t>
            </w:r>
          </w:p>
        </w:tc>
      </w:tr>
    </w:tbl>
    <w:p>
      <w:pPr>
        <w:pStyle w:val="Heading2"/>
      </w:pPr>
      <w:r>
        <w:t>购买前请确认</w:t>
      </w:r>
    </w:p>
    <w:p>
      <w:pPr>
        <w:pStyle w:val="ListNumber"/>
      </w:pPr>
      <w:r>
        <w:rPr>
          <w:rFonts w:ascii="Hiragino Sans GB" w:hAnsi="Hiragino Sans GB" w:eastAsia="Hiragino Sans GB"/>
          <w:color w:val="F4F1E8"/>
          <w:sz w:val="21"/>
        </w:rPr>
        <w:t>本商品不包含素材、Godot 项目源码、软件源码或定制开发服务。</w:t>
      </w:r>
    </w:p>
    <w:p>
      <w:pPr>
        <w:pStyle w:val="ListNumber"/>
      </w:pPr>
      <w:r>
        <w:rPr>
          <w:rFonts w:ascii="Hiragino Sans GB" w:hAnsi="Hiragino Sans GB" w:eastAsia="Hiragino Sans GB"/>
          <w:color w:val="F4F1E8"/>
          <w:sz w:val="21"/>
        </w:rPr>
        <w:t>授权设备数量和有效期以所选规格为准；请在商品 SKU 中明确标注。</w:t>
      </w:r>
    </w:p>
    <w:p>
      <w:pPr>
        <w:pStyle w:val="ListNumber"/>
      </w:pPr>
      <w:r>
        <w:rPr>
          <w:rFonts w:ascii="Hiragino Sans GB" w:hAnsi="Hiragino Sans GB" w:eastAsia="Hiragino Sans GB"/>
          <w:color w:val="F4F1E8"/>
          <w:sz w:val="21"/>
        </w:rPr>
        <w:t>同一设备重复激活通常不重复占用名额；名额已满时需解绑或替换已有设备。</w:t>
      </w:r>
    </w:p>
    <w:p>
      <w:pPr>
        <w:pStyle w:val="ListNumber"/>
      </w:pPr>
      <w:r>
        <w:rPr>
          <w:rFonts w:ascii="Hiragino Sans GB" w:hAnsi="Hiragino Sans GB" w:eastAsia="Hiragino Sans GB"/>
          <w:color w:val="F4F1E8"/>
          <w:sz w:val="21"/>
        </w:rPr>
        <w:t>更换电脑、重装系统或清理浏览器站点数据前，建议先解绑当前设备。</w:t>
      </w:r>
    </w:p>
    <w:p>
      <w:pPr>
        <w:pStyle w:val="ListNumber"/>
      </w:pPr>
      <w:r>
        <w:rPr>
          <w:rFonts w:ascii="Hiragino Sans GB" w:hAnsi="Hiragino Sans GB" w:eastAsia="Hiragino Sans GB"/>
          <w:color w:val="F4F1E8"/>
          <w:sz w:val="21"/>
        </w:rPr>
        <w:t>建议使用最新版 Chrome 或 Microsoft Edge；本地版需要 Node.js 18 或更高版本。</w:t>
      </w:r>
    </w:p>
    <w:p>
      <w:pPr>
        <w:pStyle w:val="Heading1"/>
      </w:pPr>
      <w:r>
        <w:t>图文教程：导入与整理</w:t>
      </w:r>
    </w:p>
    <w:p>
      <w:pPr>
        <w:keepNext/>
        <w:spacing w:before="200" w:after="100"/>
      </w:pPr>
      <w:r>
        <w:rPr>
          <w:rFonts w:ascii="Hiragino Sans GB" w:hAnsi="Hiragino Sans GB" w:eastAsia="Hiragino Sans GB"/>
          <w:b/>
          <w:color w:val="49DCC0"/>
          <w:sz w:val="26"/>
        </w:rPr>
        <w:t xml:space="preserve">01  </w:t>
      </w:r>
      <w:r>
        <w:rPr>
          <w:rFonts w:ascii="Hiragino Sans GB" w:hAnsi="Hiragino Sans GB" w:eastAsia="Hiragino Sans GB"/>
          <w:b/>
          <w:color w:val="F4F1E8"/>
          <w:sz w:val="26"/>
        </w:rPr>
        <w:t>进入工作台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按发货说明进入 XSXB Frame Tuner。左侧用于选择项目与调整参数，中间画布用于预览，底部时间轴用于选择和检查具体帧。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orkspac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Hiragino Sans GB" w:hAnsi="Hiragino Sans GB" w:eastAsia="Hiragino Sans GB"/>
          <w:i/>
          <w:color w:val="A9B0A9"/>
          <w:sz w:val="17"/>
        </w:rPr>
        <w:t>工作台总览：左侧调参、中间预览、底部时间轴</w:t>
      </w:r>
    </w:p>
    <w:p>
      <w:pPr>
        <w:keepNext/>
        <w:spacing w:before="200" w:after="100"/>
      </w:pPr>
      <w:r>
        <w:rPr>
          <w:rFonts w:ascii="Hiragino Sans GB" w:hAnsi="Hiragino Sans GB" w:eastAsia="Hiragino Sans GB"/>
          <w:b/>
          <w:color w:val="49DCC0"/>
          <w:sz w:val="26"/>
        </w:rPr>
        <w:t xml:space="preserve">02  </w:t>
      </w:r>
      <w:r>
        <w:rPr>
          <w:rFonts w:ascii="Hiragino Sans GB" w:hAnsi="Hiragino Sans GB" w:eastAsia="Hiragino Sans GB"/>
          <w:b/>
          <w:color w:val="F4F1E8"/>
          <w:sz w:val="26"/>
        </w:rPr>
        <w:t>导入图片序列或视频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点击“导入新动画”，填写动画名称与播放 FPS，再选择“导入图片”或“导入视频”。图片建议按播放顺序命名；视频导入后先选择片段，再设置 1–60 FPS 提取帧。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mport-anim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Hiragino Sans GB" w:hAnsi="Hiragino Sans GB" w:eastAsia="Hiragino Sans GB"/>
          <w:i/>
          <w:color w:val="A9B0A9"/>
          <w:sz w:val="17"/>
        </w:rPr>
        <w:t>导入与处理动画：动画名称、FPS、图片与视频入口</w:t>
      </w:r>
    </w:p>
    <w:p>
      <w:pPr>
        <w:pStyle w:val="Heading1"/>
      </w:pPr>
      <w:r>
        <w:t>图文教程：抠图与调参</w:t>
      </w:r>
    </w:p>
    <w:p>
      <w:pPr>
        <w:keepNext/>
        <w:spacing w:before="200" w:after="100"/>
      </w:pPr>
      <w:r>
        <w:rPr>
          <w:rFonts w:ascii="Hiragino Sans GB" w:hAnsi="Hiragino Sans GB" w:eastAsia="Hiragino Sans GB"/>
          <w:b/>
          <w:color w:val="49DCC0"/>
          <w:sz w:val="26"/>
        </w:rPr>
        <w:t xml:space="preserve">03  </w:t>
      </w:r>
      <w:r>
        <w:rPr>
          <w:rFonts w:ascii="Hiragino Sans GB" w:hAnsi="Hiragino Sans GB" w:eastAsia="Hiragino Sans GB"/>
          <w:b/>
          <w:color w:val="F4F1E8"/>
          <w:sz w:val="26"/>
        </w:rPr>
        <w:t>整理帧序列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导入后先核对总帧数和顺序，再进行删帧、翻转、标记、重复帧与循环分析。建议先清理错误帧，再进入抠图与调参。</w:t>
      </w:r>
    </w:p>
    <w:p>
      <w:pPr>
        <w:keepNext/>
        <w:spacing w:before="200" w:after="100"/>
      </w:pPr>
      <w:r>
        <w:rPr>
          <w:rFonts w:ascii="Hiragino Sans GB" w:hAnsi="Hiragino Sans GB" w:eastAsia="Hiragino Sans GB"/>
          <w:b/>
          <w:color w:val="49DCC0"/>
          <w:sz w:val="26"/>
        </w:rPr>
        <w:t xml:space="preserve">04  </w:t>
      </w:r>
      <w:r>
        <w:rPr>
          <w:rFonts w:ascii="Hiragino Sans GB" w:hAnsi="Hiragino Sans GB" w:eastAsia="Hiragino Sans GB"/>
          <w:b/>
          <w:color w:val="F4F1E8"/>
          <w:sz w:val="26"/>
        </w:rPr>
        <w:t>批量抠图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点击“批量抠图”，选择图片或载入当前动画。先用低强度参数观察轮廓，再逐步增加边缘、去污或 Alpha 强度；颜色与背景接近时先设置颜色保护。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atch-cut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Hiragino Sans GB" w:hAnsi="Hiragino Sans GB" w:eastAsia="Hiragino Sans GB"/>
          <w:i/>
          <w:color w:val="A9B0A9"/>
          <w:sz w:val="17"/>
        </w:rPr>
        <w:t>批量抠图：处理参数、局部编辑、预览与历史操作</w:t>
      </w:r>
    </w:p>
    <w:p>
      <w:pPr>
        <w:keepNext/>
        <w:spacing w:before="200" w:after="100"/>
      </w:pPr>
      <w:r>
        <w:rPr>
          <w:rFonts w:ascii="Hiragino Sans GB" w:hAnsi="Hiragino Sans GB" w:eastAsia="Hiragino Sans GB"/>
          <w:b/>
          <w:color w:val="49DCC0"/>
          <w:sz w:val="26"/>
        </w:rPr>
        <w:t xml:space="preserve">05  </w:t>
      </w:r>
      <w:r>
        <w:rPr>
          <w:rFonts w:ascii="Hiragino Sans GB" w:hAnsi="Hiragino Sans GB" w:eastAsia="Hiragino Sans GB"/>
          <w:b/>
          <w:color w:val="F4F1E8"/>
          <w:sz w:val="26"/>
        </w:rPr>
        <w:t>按层级调整动画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先选“全部动画”“当前动画”或“帧”，再调整缩放、旋转、水平位置、垂直位置与逐帧时长。推荐先做角色级整体对齐，再做动画组级修正，最后微调个别异常帧。</w:t>
      </w:r>
    </w:p>
    <w:p>
      <w:pPr>
        <w:pStyle w:val="Heading1"/>
      </w:pPr>
      <w:r>
        <w:t>图文教程：激活与导出</w:t>
      </w:r>
    </w:p>
    <w:p>
      <w:pPr>
        <w:keepNext/>
        <w:spacing w:before="200" w:after="100"/>
      </w:pPr>
      <w:r>
        <w:rPr>
          <w:rFonts w:ascii="Hiragino Sans GB" w:hAnsi="Hiragino Sans GB" w:eastAsia="Hiragino Sans GB"/>
          <w:b/>
          <w:color w:val="49DCC0"/>
          <w:sz w:val="26"/>
        </w:rPr>
        <w:t xml:space="preserve">06  </w:t>
      </w:r>
      <w:r>
        <w:rPr>
          <w:rFonts w:ascii="Hiragino Sans GB" w:hAnsi="Hiragino Sans GB" w:eastAsia="Hiragino Sans GB"/>
          <w:b/>
          <w:color w:val="F4F1E8"/>
          <w:sz w:val="26"/>
        </w:rPr>
        <w:t>输入激活码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点击右上角“授权管理”，粘贴收到的激活码，然后点击“立即激活”或“激活并继续”。激活成功后，页面会显示授权状态与到期时间。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cense-activ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Hiragino Sans GB" w:hAnsi="Hiragino Sans GB" w:eastAsia="Hiragino Sans GB"/>
          <w:i/>
          <w:color w:val="A9B0A9"/>
          <w:sz w:val="17"/>
        </w:rPr>
        <w:t>授权管理：输入激活码、查看状态与获取激活码入口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2" w:color="344039"/>
              <w:start w:val="single" w:sz="12" w:color="344039"/>
              <w:bottom w:val="single" w:sz="12" w:color="344039"/>
              <w:end w:val="single" w:sz="12" w:color="344039"/>
              <w:insideH w:val="single" w:sz="12" w:color="344039"/>
              <w:insideV w:val="single" w:sz="12" w:color="344039"/>
            </w:tcBorders>
            <w:shd w:fill="F7C948"/>
          </w:tcPr>
          <w:p>
            <w:pPr>
              <w:spacing w:before="80" w:after="80"/>
              <w:jc w:val="center"/>
            </w:pPr>
            <w:r>
              <w:rPr>
                <w:rFonts w:ascii="Hiragino Sans GB" w:hAnsi="Hiragino Sans GB" w:eastAsia="Hiragino Sans GB"/>
                <w:b/>
                <w:color w:val="090C0B"/>
                <w:sz w:val="19"/>
              </w:rPr>
              <w:t>设备提醒</w:t>
            </w:r>
          </w:p>
        </w:tc>
        <w:tc>
          <w:tcPr>
            <w:tcW w:type="dxa" w:w="7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2" w:color="344039"/>
              <w:start w:val="single" w:sz="12" w:color="344039"/>
              <w:bottom w:val="single" w:sz="12" w:color="344039"/>
              <w:end w:val="single" w:sz="12" w:color="344039"/>
              <w:insideH w:val="single" w:sz="12" w:color="344039"/>
              <w:insideV w:val="single" w:sz="12" w:color="344039"/>
            </w:tcBorders>
            <w:shd w:fill="17221E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color w:val="F4F1E8"/>
                <w:sz w:val="19"/>
              </w:rPr>
              <w:t>浏览器授权依赖本地设备身份。更换浏览器、清除站点数据、使用无痕模式或重装系统，可能生成新的设备身份。</w:t>
            </w:r>
          </w:p>
        </w:tc>
      </w:tr>
    </w:tbl>
    <w:p>
      <w:pPr>
        <w:spacing w:after="40"/>
      </w:pPr>
    </w:p>
    <w:p>
      <w:pPr>
        <w:keepNext/>
        <w:spacing w:before="200" w:after="100"/>
      </w:pPr>
      <w:r>
        <w:rPr>
          <w:rFonts w:ascii="Hiragino Sans GB" w:hAnsi="Hiragino Sans GB" w:eastAsia="Hiragino Sans GB"/>
          <w:b/>
          <w:color w:val="49DCC0"/>
          <w:sz w:val="26"/>
        </w:rPr>
        <w:t xml:space="preserve">07  </w:t>
      </w:r>
      <w:r>
        <w:rPr>
          <w:rFonts w:ascii="Hiragino Sans GB" w:hAnsi="Hiragino Sans GB" w:eastAsia="Hiragino Sans GB"/>
          <w:b/>
          <w:color w:val="F4F1E8"/>
          <w:sz w:val="26"/>
        </w:rPr>
        <w:t>保存并导出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先点击“保存调参”，再选择“导出动画包”或工具中的“导出 ZIP”。未使用 Pro 能力时可直接导出；已使用 Pro 能力时系统会校验授权。授权到期不会自动删除当前编辑，重新激活后可继续导出。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/>
          <w:color w:val="49DCC0"/>
          <w:sz w:val="21"/>
        </w:rPr>
        <w:t>导出前核对：动画名称、帧数、FPS、循环效果、透明边缘、碰撞框、逐帧时长。</w:t>
      </w:r>
    </w:p>
    <w:p>
      <w:pPr>
        <w:pStyle w:val="Heading1"/>
      </w:pPr>
      <w:r>
        <w:t>常见问题与客服话术</w:t>
      </w:r>
    </w:p>
    <w:p>
      <w:pPr>
        <w:pStyle w:val="Heading2"/>
      </w:pPr>
      <w:r>
        <w:t>不购买激活码可以使用吗？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可以。导入、基础处理、调参和本地保存不要求激活；导出的动画实际使用 Pro 高级能力时，才需要有效授权。</w:t>
      </w:r>
    </w:p>
    <w:p>
      <w:pPr>
        <w:pStyle w:val="Heading2"/>
      </w:pPr>
      <w:r>
        <w:t>激活后能在几台设备使用？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以购买规格为准。同一设备重复激活通常不重复占用名额；新设备超过名额时，需要解绑或替换已有设备。</w:t>
      </w:r>
    </w:p>
    <w:p>
      <w:pPr>
        <w:pStyle w:val="Heading2"/>
      </w:pPr>
      <w:r>
        <w:t>激活码到期后内容会丢失吗？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不会因到期自动删除当前编辑。授权到期后仍可编辑，涉及 Pro 高级能力的导出需要重新激活或续期。</w:t>
      </w:r>
    </w:p>
    <w:p>
      <w:pPr>
        <w:pStyle w:val="Heading2"/>
      </w:pPr>
      <w:r>
        <w:t>为什么换浏览器后需要重新激活？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F4F1E8"/>
          <w:sz w:val="21"/>
        </w:rPr>
        <w:t>授权与浏览器设备身份关联。更换浏览器、清除站点数据、无痕模式或重装系统都可能生成新的设备身份。</w:t>
      </w:r>
    </w:p>
    <w:p>
      <w:pPr>
        <w:pStyle w:val="Heading2"/>
      </w:pPr>
      <w:r>
        <w:t>发货快捷回复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2" w:color="344039"/>
              <w:start w:val="single" w:sz="12" w:color="344039"/>
              <w:bottom w:val="single" w:sz="12" w:color="344039"/>
              <w:end w:val="single" w:sz="12" w:color="344039"/>
              <w:insideH w:val="single" w:sz="12" w:color="344039"/>
              <w:insideV w:val="single" w:sz="12" w:color="344039"/>
            </w:tcBorders>
            <w:shd w:fill="49DCC0"/>
          </w:tcPr>
          <w:p>
            <w:pPr>
              <w:spacing w:before="80" w:after="80"/>
              <w:jc w:val="center"/>
            </w:pPr>
            <w:r>
              <w:rPr>
                <w:rFonts w:ascii="Hiragino Sans GB" w:hAnsi="Hiragino Sans GB" w:eastAsia="Hiragino Sans GB"/>
                <w:b/>
                <w:color w:val="090C0B"/>
                <w:sz w:val="19"/>
              </w:rPr>
              <w:t>发货</w:t>
            </w:r>
          </w:p>
        </w:tc>
        <w:tc>
          <w:tcPr>
            <w:tcW w:type="dxa" w:w="7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2" w:color="344039"/>
              <w:start w:val="single" w:sz="12" w:color="344039"/>
              <w:bottom w:val="single" w:sz="12" w:color="344039"/>
              <w:end w:val="single" w:sz="12" w:color="344039"/>
              <w:insideH w:val="single" w:sz="12" w:color="344039"/>
              <w:insideV w:val="single" w:sz="12" w:color="344039"/>
            </w:tcBorders>
            <w:shd w:fill="17221E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color w:val="F4F1E8"/>
                <w:sz w:val="19"/>
              </w:rPr>
              <w:t>您好，本商品为 XSXB Frame Tuner Pro 虚拟激活码。请按发货说明进入工作台，点击右上角“授权管理”，粘贴激活码并点击“立即激活”。授权设备数和有效期以您购买的规格为准。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2" w:color="344039"/>
              <w:start w:val="single" w:sz="12" w:color="344039"/>
              <w:bottom w:val="single" w:sz="12" w:color="344039"/>
              <w:end w:val="single" w:sz="12" w:color="344039"/>
              <w:insideH w:val="single" w:sz="12" w:color="344039"/>
              <w:insideV w:val="single" w:sz="12" w:color="344039"/>
            </w:tcBorders>
            <w:shd w:fill="FF694A"/>
          </w:tcPr>
          <w:p>
            <w:pPr>
              <w:spacing w:before="80" w:after="80"/>
              <w:jc w:val="center"/>
            </w:pPr>
            <w:r>
              <w:rPr>
                <w:rFonts w:ascii="Hiragino Sans GB" w:hAnsi="Hiragino Sans GB" w:eastAsia="Hiragino Sans GB"/>
                <w:b/>
                <w:color w:val="090C0B"/>
                <w:sz w:val="19"/>
              </w:rPr>
              <w:t>激活失败</w:t>
            </w:r>
          </w:p>
        </w:tc>
        <w:tc>
          <w:tcPr>
            <w:tcW w:type="dxa" w:w="7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2" w:color="344039"/>
              <w:start w:val="single" w:sz="12" w:color="344039"/>
              <w:bottom w:val="single" w:sz="12" w:color="344039"/>
              <w:end w:val="single" w:sz="12" w:color="344039"/>
              <w:insideH w:val="single" w:sz="12" w:color="344039"/>
              <w:insideV w:val="single" w:sz="12" w:color="344039"/>
            </w:tcBorders>
            <w:shd w:fill="17221E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color w:val="F4F1E8"/>
                <w:sz w:val="19"/>
              </w:rPr>
              <w:t>请确认激活码前后没有空格，并检查设备名额是否已满。如仍无法激活，请发送订单号、浏览器名称和完整错误截图；请勿在公开群聊中发送完整激活码。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2" w:color="344039"/>
              <w:start w:val="single" w:sz="12" w:color="344039"/>
              <w:bottom w:val="single" w:sz="12" w:color="344039"/>
              <w:end w:val="single" w:sz="12" w:color="344039"/>
              <w:insideH w:val="single" w:sz="12" w:color="344039"/>
              <w:insideV w:val="single" w:sz="12" w:color="344039"/>
            </w:tcBorders>
            <w:shd w:fill="F7C948"/>
          </w:tcPr>
          <w:p>
            <w:pPr>
              <w:spacing w:before="80" w:after="80"/>
              <w:jc w:val="center"/>
            </w:pPr>
            <w:r>
              <w:rPr>
                <w:rFonts w:ascii="Hiragino Sans GB" w:hAnsi="Hiragino Sans GB" w:eastAsia="Hiragino Sans GB"/>
                <w:b/>
                <w:color w:val="090C0B"/>
                <w:sz w:val="19"/>
              </w:rPr>
              <w:t>换机</w:t>
            </w:r>
          </w:p>
        </w:tc>
        <w:tc>
          <w:tcPr>
            <w:tcW w:type="dxa" w:w="7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12" w:color="344039"/>
              <w:start w:val="single" w:sz="12" w:color="344039"/>
              <w:bottom w:val="single" w:sz="12" w:color="344039"/>
              <w:end w:val="single" w:sz="12" w:color="344039"/>
              <w:insideH w:val="single" w:sz="12" w:color="344039"/>
              <w:insideV w:val="single" w:sz="12" w:color="344039"/>
            </w:tcBorders>
            <w:shd w:fill="17221E"/>
          </w:tcPr>
          <w:p>
            <w:pPr>
              <w:spacing w:before="80" w:after="80"/>
            </w:pPr>
            <w:r>
              <w:rPr>
                <w:rFonts w:ascii="Hiragino Sans GB" w:hAnsi="Hiragino Sans GB" w:eastAsia="Hiragino Sans GB"/>
                <w:color w:val="F4F1E8"/>
                <w:sz w:val="19"/>
              </w:rPr>
              <w:t>更换电脑、浏览器或清理站点数据前，请先在原设备的“授权管理”中解绑当前设备。若原设备已无法使用，请发送订单信息和设备情况协助核验。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A9B0A9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/>
        <w:b/>
        <w:color w:val="49DCC0"/>
        <w:sz w:val="17"/>
      </w:rPr>
      <w:t>XSXB FRAME TUNER  /  PRO LICENSE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/>
      <w:color w:val="F4F1E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49DCC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F7C9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F4F1E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F4F1E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A9B0A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Hiragino Sans GB" w:hAnsi="Hiragino Sans GB" w:eastAsia="Hiragino Sans GB"/>
      <w:color w:val="F4F1E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Hiragino Sans GB" w:hAnsi="Hiragino Sans GB" w:eastAsia="Hiragino Sans GB"/>
      <w:color w:val="F4F1E8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XSXB Frame Tuner Pro 激活码｜商品详情与图文使用说明</dc:title>
  <dc:subject>商品上架文案、购买说明、激活与导出教程</dc:subject>
  <dc:creator>XSXB Frame Tuner</dc:creator>
  <cp:keywords>XSXB Frame Tuner, Godot, 帧动画, 激活码, 批量抠图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