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TwinVent Project Plan</w:t>
      </w:r>
    </w:p>
    <w:p>
      <w:pPr>
        <w:pStyle w:val="Subtitle"/>
      </w:pPr>
      <w:r>
        <w:t>Offline patient specific pulmonary digital twin for ventilator decision support</w:t>
      </w:r>
    </w:p>
    <w:p>
      <w:pPr>
        <w:pStyle w:val="Heading2"/>
        <w:keepNext/>
      </w:pPr>
      <w:r>
        <w:t>Purpose</w:t>
      </w:r>
    </w:p>
    <w:p>
      <w:r>
        <w:t>This plan translates the TwinVent objective into a staged research and engineering program. It explains what the supplied ventilator pressure dataset can support, what additional clinical and device data are needed, and how to build and validate an offline bedside prototype that forecasts the consequences of candidate setting changes before a clinician applies them.</w:t>
      </w:r>
    </w:p>
    <w:tbl>
      <w:tblPr>
        <w:tblStyle w:val="LightShading-Accent1"/>
        <w:tblW w:type="auto" w:w="0"/>
        <w:tblLook w:firstColumn="1" w:firstRow="1" w:lastColumn="0" w:lastRow="0" w:noHBand="0" w:noVBand="1" w:val="04A0"/>
      </w:tblPr>
      <w:tblGrid>
        <w:gridCol w:w="9994"/>
      </w:tblGrid>
      <w:tr>
        <w:tc>
          <w:tcPr>
            <w:tcW w:type="dxa" w:w="9994"/>
            <w:shd w:fill="E8F4F5"/>
          </w:tcPr>
          <w:p>
            <w:r>
              <w:rPr>
                <w:b w:val="0"/>
                <w:color w:val="12304A"/>
                <w:sz w:val="20"/>
              </w:rPr>
              <w:t>Project objective</w:t>
              <w:br/>
              <w:t>Develop TwinVent as a fully offline, edge driven pulmonary digital twin that updates an individual patient lung mechanics estimate from ventilator waveforms, predicts the expected pressure and volume response to candidate setting changes, and presents bounded, explainable decision support for clinician review.</w:t>
            </w:r>
          </w:p>
        </w:tc>
      </w:tr>
    </w:tbl>
    <w:p>
      <w:pPr>
        <w:pStyle w:val="Heading2"/>
        <w:keepNext/>
      </w:pPr>
      <w:r>
        <w:t>Planning note</w:t>
      </w:r>
    </w:p>
    <w:p>
      <w:r>
        <w:t>The project folder currently contains the three CSV files and no abstract or other narrative project document. The stated objective and problem description in the request therefore anchor this version. The abstract should be added or pasted before this plan is treated as aligned to the submitted abstract.</w:t>
      </w:r>
    </w:p>
    <w:p>
      <w:pPr>
        <w:pStyle w:val="Heading1"/>
        <w:keepNext/>
      </w:pPr>
      <w:r>
        <w:t>1  Clinical problem and intended use</w:t>
      </w:r>
    </w:p>
    <w:p>
      <w:r>
        <w:t>ARDS can sharply reduce the amount of functioning lung tissue. The supplied problem statement describes a narrow, patient dependent ventilation safety zone: excessive strain may injure the remaining lung, while inadequate recruitment may permit repetitive collapse and reopening. Conventional protocols provide a necessary starting point, but the project hypothesis is that frequently updated patient specific mechanics estimates could help clinicians understand how candidate changes are likely to affect that patient.</w:t>
      </w:r>
    </w:p>
    <w:p>
      <w:r>
        <w:t>Proposed intended use for the research prototype: display current waveform interpretation, an uncertainty aware estimate of mechanics, and predicted responses for clinician selected candidate settings. The prototype should not autonomously change ventilator settings. Clinical thresholds and treatment recommendations must be defined with critical care and respiratory therapy experts; this plan does not prescribe patient care.</w:t>
      </w:r>
    </w:p>
    <w:p>
      <w:r>
        <w:t>TwinVent is meant to operate locally on approved bedside or test hardware. Data acquisition, inference, patient state, model updates, audit records, and display should remain on that device or an approved local hospital network. Internet connectivity must not be required for routine operation.</w:t>
      </w:r>
    </w:p>
    <w:p>
      <w:pPr>
        <w:pStyle w:val="Heading1"/>
        <w:keepNext/>
      </w:pPr>
      <w:r>
        <w:t>2  Supplied files and data audit</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shd w:fill="12304A"/>
          </w:tcPr>
          <w:p>
            <w:r>
              <w:rPr>
                <w:b/>
                <w:color w:val="FFFFFF"/>
                <w:sz w:val="17"/>
              </w:rPr>
              <w:t>File</w:t>
            </w:r>
          </w:p>
        </w:tc>
        <w:tc>
          <w:tcPr>
            <w:tcW w:type="dxa" w:w="3331"/>
            <w:shd w:fill="12304A"/>
          </w:tcPr>
          <w:p>
            <w:r>
              <w:rPr>
                <w:b/>
                <w:color w:val="FFFFFF"/>
                <w:sz w:val="17"/>
              </w:rPr>
              <w:t>Observed structure</w:t>
            </w:r>
          </w:p>
        </w:tc>
        <w:tc>
          <w:tcPr>
            <w:tcW w:type="dxa" w:w="3331"/>
            <w:shd w:fill="12304A"/>
          </w:tcPr>
          <w:p>
            <w:r>
              <w:rPr>
                <w:b/>
                <w:color w:val="FFFFFF"/>
                <w:sz w:val="17"/>
              </w:rPr>
              <w:t>Role in project</w:t>
            </w:r>
          </w:p>
        </w:tc>
      </w:tr>
      <w:tr>
        <w:tc>
          <w:tcPr>
            <w:tcW w:type="dxa" w:w="3331"/>
            <w:vAlign w:val="center"/>
          </w:tcPr>
          <w:p>
            <w:pPr>
              <w:spacing w:after="40"/>
            </w:pPr>
            <w:r>
              <w:rPr>
                <w:sz w:val="16"/>
              </w:rPr>
              <w:t>train.csv</w:t>
            </w:r>
          </w:p>
        </w:tc>
        <w:tc>
          <w:tcPr>
            <w:tcW w:type="dxa" w:w="3331"/>
            <w:vAlign w:val="center"/>
          </w:tcPr>
          <w:p>
            <w:pPr>
              <w:spacing w:after="40"/>
            </w:pPr>
            <w:r>
              <w:rPr>
                <w:sz w:val="16"/>
              </w:rPr>
              <w:t>6,036,000 rows; 8 columns; 75,450 breaths; 80 samples per breath. id, breath_id, R, C, time_step, u_in, u_out, pressure.</w:t>
            </w:r>
          </w:p>
        </w:tc>
        <w:tc>
          <w:tcPr>
            <w:tcW w:type="dxa" w:w="3331"/>
            <w:vAlign w:val="center"/>
          </w:tcPr>
          <w:p>
            <w:pPr>
              <w:spacing w:after="40"/>
            </w:pPr>
            <w:r>
              <w:rPr>
                <w:sz w:val="16"/>
              </w:rPr>
              <w:t>Supervised pressure waveform model development and offline benchmarking.</w:t>
            </w:r>
          </w:p>
        </w:tc>
      </w:tr>
      <w:tr>
        <w:tc>
          <w:tcPr>
            <w:tcW w:type="dxa" w:w="3331"/>
            <w:vAlign w:val="center"/>
          </w:tcPr>
          <w:p>
            <w:pPr>
              <w:spacing w:after="40"/>
            </w:pPr>
            <w:r>
              <w:rPr>
                <w:sz w:val="16"/>
              </w:rPr>
              <w:t>test.csv</w:t>
            </w:r>
          </w:p>
        </w:tc>
        <w:tc>
          <w:tcPr>
            <w:tcW w:type="dxa" w:w="3331"/>
            <w:vAlign w:val="center"/>
          </w:tcPr>
          <w:p>
            <w:r>
              <w:t>4,024,000 rows; 50,300 breaths; 80 samples per breath; 7 columns: id, breath_id, R, C, time_step, u_in, u_out. No pressure target.</w:t>
            </w:r>
          </w:p>
        </w:tc>
        <w:tc>
          <w:tcPr>
            <w:tcW w:type="dxa" w:w="3331"/>
            <w:vAlign w:val="center"/>
          </w:tcPr>
          <w:p>
            <w:pPr>
              <w:spacing w:after="40"/>
            </w:pPr>
            <w:r>
              <w:rPr>
                <w:sz w:val="16"/>
              </w:rPr>
              <w:t>Unlabeled competition holdout for generating pressure predictions; not an independent clinical validation cohort.</w:t>
            </w:r>
          </w:p>
        </w:tc>
      </w:tr>
      <w:tr>
        <w:tc>
          <w:tcPr>
            <w:tcW w:type="dxa" w:w="3331"/>
            <w:vAlign w:val="center"/>
          </w:tcPr>
          <w:p>
            <w:pPr>
              <w:spacing w:after="40"/>
            </w:pPr>
            <w:r>
              <w:rPr>
                <w:sz w:val="16"/>
              </w:rPr>
              <w:t>sample_submission.csv</w:t>
            </w:r>
          </w:p>
        </w:tc>
        <w:tc>
          <w:tcPr>
            <w:tcW w:type="dxa" w:w="3331"/>
            <w:vAlign w:val="center"/>
          </w:tcPr>
          <w:p>
            <w:r>
              <w:t>4,024,000 rows; id and pressure; starter output file.</w:t>
            </w:r>
          </w:p>
        </w:tc>
        <w:tc>
          <w:tcPr>
            <w:tcW w:type="dxa" w:w="3331"/>
            <w:vAlign w:val="center"/>
          </w:tcPr>
          <w:p>
            <w:pPr>
              <w:spacing w:after="40"/>
            </w:pPr>
            <w:r>
              <w:rPr>
                <w:sz w:val="16"/>
              </w:rPr>
              <w:t>Submission schema check only; zero-filled pressure values are placeholders, not ground truth.</w:t>
            </w:r>
          </w:p>
        </w:tc>
      </w:tr>
    </w:tbl>
    <w:p>
      <w:pPr>
        <w:pStyle w:val="Heading2"/>
        <w:keepNext/>
      </w:pPr>
      <w:r>
        <w:t>Train data review</w:t>
      </w:r>
    </w:p>
    <w:p>
      <w:pPr>
        <w:pStyle w:val="ListBullet"/>
        <w:spacing w:after="40"/>
      </w:pPr>
      <w:r>
        <w:t>No missing values were found in the inspected training rows; all 80 time samples for each of 75,450 breaths were present in the full train file.</w:t>
      </w:r>
    </w:p>
    <w:p>
      <w:pPr>
        <w:pStyle w:val="ListBullet"/>
        <w:spacing w:after="40"/>
      </w:pPr>
      <w:r>
        <w:t>R has three values (5, 20, 50) and C has three values (10, 20, 50), giving nine resistance/compliance combinations. They represent test lung mechanics categories, not patient-specific records.</w:t>
      </w:r>
    </w:p>
    <w:p>
      <w:pPr>
        <w:pStyle w:val="ListBullet"/>
        <w:spacing w:after="40"/>
      </w:pPr>
      <w:r>
        <w:t>The label pressure is present only in train.csv. In the supplied file its observed range is about -1.90 to 64.82 cmH2O; out-of-range or extreme cases need data-quality review before training and clinically meaningful error analysis.</w:t>
      </w:r>
    </w:p>
    <w:p>
      <w:pPr>
        <w:pStyle w:val="ListBullet"/>
        <w:spacing w:after="40"/>
      </w:pPr>
      <w:r>
        <w:t>Signals u_in and u_out are ventilator/test-rig control signals, and the records are short breath sequences. They do not include patient diagnoses, demographics, oxygenation, outcomes, clinician actions, ventilator modes/settings histories, or hours-to-days longitudinal adaptation.</w:t>
      </w:r>
    </w:p>
    <w:p>
      <w:pPr>
        <w:pStyle w:val="Heading2"/>
        <w:keepNext/>
      </w:pPr>
      <w:r>
        <w:t>What the dataset can and cannot establish</w:t>
      </w:r>
    </w:p>
    <w:p>
      <w:r>
        <w:t>It can support an initial model that maps the provided test lung category and within-breath control/time signals to airway pressure, plus testing of ingestion, preprocessing, inference speed, and pressure waveform display. It cannot demonstrate ARDS diagnosis, safe tidal volume or PEEP selection, patient-specific adaptation over hours, prevention of lung injury, mortality benefit, or generalization to real patients and ventilator brands. Kaggle describes the data as produced by a modified open-source ventilator connected to an artificial bellows test lung; it is a bench dataset rather than a patient cohort [1].</w:t>
      </w:r>
    </w:p>
    <w:p>
      <w:pPr>
        <w:pStyle w:val="Heading2"/>
        <w:keepNext/>
      </w:pPr>
      <w:r>
        <w:t>Dataset handling</w:t>
      </w:r>
    </w:p>
    <w:p>
      <w:pPr>
        <w:pStyle w:val="ListBullet"/>
        <w:spacing w:after="40"/>
      </w:pPr>
      <w:r>
        <w:t>Keep raw files immutable; record checksums, source, schema version, and a data dictionary. Process in chunks or memory-mapped/columnar form rather than loading all rows repeatedly.</w:t>
      </w:r>
    </w:p>
    <w:p>
      <w:pPr>
        <w:pStyle w:val="ListBullet"/>
        <w:spacing w:after="40"/>
      </w:pPr>
      <w:r>
        <w:t>Group all rows from a breath together for splitting; never randomly split individual time rows across training and validation, because that leaks the waveform of a breath.</w:t>
      </w:r>
    </w:p>
    <w:p>
      <w:pPr>
        <w:pStyle w:val="ListBullet"/>
        <w:spacing w:after="40"/>
      </w:pPr>
      <w:r>
        <w:t>Create an initial held-out split by breath and a stricter stress split by R-C combination or operating range. Because R-C combinations are few, report which categories are held out and do not claim broad patient generalization.</w:t>
      </w:r>
    </w:p>
    <w:p>
      <w:pPr>
        <w:pStyle w:val="ListBullet"/>
        <w:spacing w:after="40"/>
      </w:pPr>
      <w:r>
        <w:t>Retain id only for row alignment/submission. Do not treat id as a predictive physiology feature.</w:t>
      </w:r>
    </w:p>
    <w:p>
      <w:pPr>
        <w:pStyle w:val="Heading1"/>
        <w:keepNext/>
      </w:pPr>
      <w:r>
        <w:t>3  System concept and data flow</w:t>
      </w:r>
    </w:p>
    <w:p>
      <w:r>
        <w:t>Bedside signal adapter  →  signal quality checks  →  breath segmentation and feature construction  →  personalized mechanics state estimator  →  pressure/volume response predictor  →  constrained candidate scenario engine  →  uncertainty and safety checks  →  clinician display and local audit log.</w:t>
      </w:r>
    </w:p>
    <w:p>
      <w:r>
        <w:t>The model should learn mechanics from measured response, not assume that a hidden R or C field exists on the real ventilator. In the prototype, R and C are labels available only in the simulator dataset. On-device, TwinVent would infer a latent mechanics state from the patient’s measured pressure/flow/volume response and update it cautiously as new breaths arrive.</w:t>
      </w:r>
    </w:p>
    <w:p>
      <w:r>
        <w:t>Candidate setting changes are counterfactual scenarios: estimate the response under alternative settings while holding other measured context fixed. A pressure predictor alone is not enough. The mature digital twin needs an identified or validated patient mechanics model that can simulate the effects of changes, including interactions and uncertainty. Until that model and clinical validation exist, present predictions as research outputs and do not recommend or apply settings.</w:t>
      </w:r>
    </w:p>
    <w:p>
      <w:pPr>
        <w:pStyle w:val="Heading1"/>
        <w:keepNext/>
      </w:pPr>
      <w:r>
        <w:t>4  Detailed implementation workstreams</w:t>
      </w:r>
    </w:p>
    <w:p>
      <w:pPr>
        <w:pStyle w:val="Heading2"/>
        <w:keepNext/>
      </w:pPr>
      <w:r>
        <w:t>Workstream A  Data and baseline model</w:t>
      </w:r>
    </w:p>
    <w:p>
      <w:pPr>
        <w:pStyle w:val="ListNumber"/>
        <w:spacing w:after="40"/>
      </w:pPr>
      <w:r>
        <w:t>Document the competition dataset, units, signal timing, target definition, row order, breath boundaries, and known limitations. Validate that each breath has expected sample count and stable R/C labels; inspect pressure trajectories, outliers, repeated IDs, and the u_out transition.</w:t>
      </w:r>
    </w:p>
    <w:p>
      <w:pPr>
        <w:pStyle w:val="ListNumber"/>
        <w:spacing w:after="40"/>
      </w:pPr>
      <w:r>
        <w:t>Build a reproducible pipeline: sort within breath by time_step, preserve id mapping, normalize only from training folds, encode R/C as categories for the benchmark, and derive pressure/flow-volume history features without future leakage.</w:t>
      </w:r>
    </w:p>
    <w:p>
      <w:pPr>
        <w:pStyle w:val="ListNumber"/>
        <w:spacing w:after="40"/>
      </w:pPr>
      <w:r>
        <w:t>Train simple baselines first (last-value or lookup-style physical baseline where valid, then regularized regression / gradient boosting), followed by a sequence model such as temporal convolution or a compact recurrent model. Compare against an interpretable lumped respiratory mechanics model (resistance, compliance, and inertial terms where justified).</w:t>
      </w:r>
    </w:p>
    <w:p>
      <w:pPr>
        <w:pStyle w:val="ListNumber"/>
        <w:spacing w:after="40"/>
      </w:pPr>
      <w:r>
        <w:t>Evaluate on held-out breaths using pressure MAE and RMSE, waveform error by inspiratory/expiratory phase, peak pressure error, bias, calibration, and errors stratified by R/C category and time. Report per-breath metrics and confidence intervals, not only one aggregate score.</w:t>
      </w:r>
    </w:p>
    <w:p>
      <w:pPr>
        <w:pStyle w:val="ListNumber"/>
        <w:spacing w:after="40"/>
      </w:pPr>
      <w:r>
        <w:t>Export the best candidate to an edge-friendly runtime only after accuracy and timing are measured. Model compression/quantization must be followed by the same subgroup and waveform checks.</w:t>
      </w:r>
    </w:p>
    <w:p>
      <w:pPr>
        <w:pStyle w:val="Heading2"/>
        <w:keepNext/>
      </w:pPr>
      <w:r>
        <w:t>Workstream B  Real-time signal and device integration</w:t>
      </w:r>
    </w:p>
    <w:p>
      <w:pPr>
        <w:pStyle w:val="ListNumber"/>
        <w:spacing w:after="40"/>
      </w:pPr>
      <w:r>
        <w:t>Select an approved ventilator interface and obtain its protocol, signal definitions, units, sampling rate, connection method, and permissions. Start with recorded or simulated input; do not write control commands to a live ventilator.</w:t>
      </w:r>
    </w:p>
    <w:p>
      <w:pPr>
        <w:pStyle w:val="ListNumber"/>
        <w:spacing w:after="40"/>
      </w:pPr>
      <w:r>
        <w:t>Implement a read-only adapter with timestamping, buffering, device identity, clock drift handling, missing/late sample detection, and explicit units. Initial channel needs: airway pressure, flow, delivered volume if available, PEEP, inspiratory pressure/target, respiratory rate, mode, breath phase, and alarms/context required by clinical collaborators.</w:t>
      </w:r>
    </w:p>
    <w:p>
      <w:pPr>
        <w:pStyle w:val="ListNumber"/>
        <w:spacing w:after="40"/>
      </w:pPr>
      <w:r>
        <w:t>Segment breaths and derive consistent mechanics inputs. Reject malformed breaths and mark sensor dropout or mode transitions. Display signal quality and stale-data status clearly.</w:t>
      </w:r>
    </w:p>
    <w:p>
      <w:pPr>
        <w:pStyle w:val="ListNumber"/>
        <w:spacing w:after="40"/>
      </w:pPr>
      <w:r>
        <w:t>Build a local service and display that can run without DNS, cloud APIs, or internet. Store only the minimum locally required data, encrypt at rest where supported, manage device access, and provide controlled export for research only.</w:t>
      </w:r>
    </w:p>
    <w:p>
      <w:pPr>
        <w:pStyle w:val="Heading2"/>
        <w:keepNext/>
      </w:pPr>
      <w:r>
        <w:t>Workstream C  Personalization and counterfactual twin</w:t>
      </w:r>
    </w:p>
    <w:p>
      <w:pPr>
        <w:pStyle w:val="ListNumber"/>
        <w:spacing w:after="40"/>
      </w:pPr>
      <w:r>
        <w:t>Initialize mechanics from a clinician-approved, non-prescriptive baseline or from a brief run-in of validated breaths. Use patient-specific state variables such as estimated resistance, compliance, time constants, and uncertainty; do not initialize from demographics unless supported and approved.</w:t>
      </w:r>
    </w:p>
    <w:p>
      <w:pPr>
        <w:pStyle w:val="ListNumber"/>
        <w:spacing w:after="40"/>
      </w:pPr>
      <w:r>
        <w:t>Update estimates breath by breath with a robust state estimator (for example, recursive Bayesian/state-space estimation). Use bounded adaptation rates, quality gates, and reset/change detection for mode, circuit, sensor, or patient condition changes.</w:t>
      </w:r>
    </w:p>
    <w:p>
      <w:pPr>
        <w:pStyle w:val="ListNumber"/>
        <w:spacing w:after="40"/>
      </w:pPr>
      <w:r>
        <w:t>For each clinician-selected candidate setting, simulate the resulting pressure and volume trajectory with the patient state model. Show the predicted waveform, key derived quantities, uncertainty interval, model confidence, and the assumptions held fixed.</w:t>
      </w:r>
    </w:p>
    <w:p>
      <w:pPr>
        <w:pStyle w:val="ListNumber"/>
        <w:spacing w:after="40"/>
      </w:pPr>
      <w:r>
        <w:t>Constrain candidates to a clinician-approved range and suppress output when data quality, model fit, or uncertainty fails pre-set criteria. Every suggestion must be reviewable and dismissible; log model version, inputs, candidates, outputs, uncertainty, and user action locally.</w:t>
      </w:r>
    </w:p>
    <w:p>
      <w:pPr>
        <w:pStyle w:val="Heading2"/>
        <w:keepNext/>
      </w:pPr>
      <w:r>
        <w:t>Workstream D  Edge product and reliability</w:t>
      </w:r>
    </w:p>
    <w:p>
      <w:pPr>
        <w:pStyle w:val="ListBullet"/>
        <w:spacing w:after="40"/>
      </w:pPr>
      <w:r>
        <w:t>Choose hardware after measuring inference and buffering needs: fanless x86 or ARM edge computer, medical-grade power/isolation as required, secure boot, signed model updates through an approved offline process, and watchdog recovery.</w:t>
      </w:r>
    </w:p>
    <w:p>
      <w:pPr>
        <w:pStyle w:val="ListBullet"/>
        <w:spacing w:after="40"/>
      </w:pPr>
      <w:r>
        <w:t>Define latency budget from sample arrival to display, uptime behavior, local clock, thermal/power limits, storage limits, and failure states. Fail safely to “prediction unavailable”; never block ventilator operation.</w:t>
      </w:r>
    </w:p>
    <w:p>
      <w:pPr>
        <w:pStyle w:val="ListBullet"/>
        <w:spacing w:after="40"/>
      </w:pPr>
      <w:r>
        <w:t>Separate signal acquisition, estimation, scenario calculation, UI, and audit logging so a failure in one component cannot affect ventilator control.</w:t>
      </w:r>
    </w:p>
    <w:p>
      <w:pPr>
        <w:pStyle w:val="Heading1"/>
        <w:keepNext/>
      </w:pPr>
      <w:r>
        <w:t>5  Proposed software architecture</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shd w:fill="12304A"/>
          </w:tcPr>
          <w:p>
            <w:r>
              <w:rPr>
                <w:b/>
                <w:color w:val="FFFFFF"/>
                <w:sz w:val="17"/>
              </w:rPr>
              <w:t>Layer</w:t>
            </w:r>
          </w:p>
        </w:tc>
        <w:tc>
          <w:tcPr>
            <w:tcW w:type="dxa" w:w="3331"/>
            <w:shd w:fill="12304A"/>
          </w:tcPr>
          <w:p>
            <w:r>
              <w:rPr>
                <w:b/>
                <w:color w:val="FFFFFF"/>
                <w:sz w:val="17"/>
              </w:rPr>
              <w:t>Responsibilities</w:t>
            </w:r>
          </w:p>
        </w:tc>
        <w:tc>
          <w:tcPr>
            <w:tcW w:type="dxa" w:w="3331"/>
            <w:shd w:fill="12304A"/>
          </w:tcPr>
          <w:p>
            <w:r>
              <w:rPr>
                <w:b/>
                <w:color w:val="FFFFFF"/>
                <w:sz w:val="17"/>
              </w:rPr>
              <w:t>Candidate implementation direction</w:t>
            </w:r>
          </w:p>
        </w:tc>
      </w:tr>
      <w:tr>
        <w:tc>
          <w:tcPr>
            <w:tcW w:type="dxa" w:w="3331"/>
            <w:vAlign w:val="center"/>
          </w:tcPr>
          <w:p>
            <w:pPr>
              <w:spacing w:after="40"/>
            </w:pPr>
            <w:r>
              <w:rPr>
                <w:sz w:val="16"/>
              </w:rPr>
              <w:t>Device interface</w:t>
            </w:r>
          </w:p>
        </w:tc>
        <w:tc>
          <w:tcPr>
            <w:tcW w:type="dxa" w:w="3331"/>
            <w:vAlign w:val="center"/>
          </w:tcPr>
          <w:p>
            <w:pPr>
              <w:spacing w:after="40"/>
            </w:pPr>
            <w:r>
              <w:rPr>
                <w:sz w:val="16"/>
              </w:rPr>
              <w:t>Read-only data capture, timestamps, protocol validation, buffering.</w:t>
            </w:r>
          </w:p>
        </w:tc>
        <w:tc>
          <w:tcPr>
            <w:tcW w:type="dxa" w:w="3331"/>
            <w:vAlign w:val="center"/>
          </w:tcPr>
          <w:p>
            <w:pPr>
              <w:spacing w:after="40"/>
            </w:pPr>
            <w:r>
              <w:rPr>
                <w:sz w:val="16"/>
              </w:rPr>
              <w:t>Vendor-approved API or exported stream; adapter abstraction and simulator for development.</w:t>
            </w:r>
          </w:p>
        </w:tc>
      </w:tr>
      <w:tr>
        <w:tc>
          <w:tcPr>
            <w:tcW w:type="dxa" w:w="3331"/>
            <w:vAlign w:val="center"/>
          </w:tcPr>
          <w:p>
            <w:pPr>
              <w:spacing w:after="40"/>
            </w:pPr>
            <w:r>
              <w:rPr>
                <w:sz w:val="16"/>
              </w:rPr>
              <w:t>Signal pipeline</w:t>
            </w:r>
          </w:p>
        </w:tc>
        <w:tc>
          <w:tcPr>
            <w:tcW w:type="dxa" w:w="3331"/>
            <w:vAlign w:val="center"/>
          </w:tcPr>
          <w:p>
            <w:pPr>
              <w:spacing w:after="40"/>
            </w:pPr>
            <w:r>
              <w:rPr>
                <w:sz w:val="16"/>
              </w:rPr>
              <w:t>Quality flags, breath segmentation, alignment, features.</w:t>
            </w:r>
          </w:p>
        </w:tc>
        <w:tc>
          <w:tcPr>
            <w:tcW w:type="dxa" w:w="3331"/>
            <w:vAlign w:val="center"/>
          </w:tcPr>
          <w:p>
            <w:pPr>
              <w:spacing w:after="40"/>
            </w:pPr>
            <w:r>
              <w:rPr>
                <w:sz w:val="16"/>
              </w:rPr>
              <w:t>Deterministic local service; versioned preprocessing shared with training.</w:t>
            </w:r>
          </w:p>
        </w:tc>
      </w:tr>
      <w:tr>
        <w:tc>
          <w:tcPr>
            <w:tcW w:type="dxa" w:w="3331"/>
            <w:vAlign w:val="center"/>
          </w:tcPr>
          <w:p>
            <w:pPr>
              <w:spacing w:after="40"/>
            </w:pPr>
            <w:r>
              <w:rPr>
                <w:sz w:val="16"/>
              </w:rPr>
              <w:t>Twin engine</w:t>
            </w:r>
          </w:p>
        </w:tc>
        <w:tc>
          <w:tcPr>
            <w:tcW w:type="dxa" w:w="3331"/>
            <w:vAlign w:val="center"/>
          </w:tcPr>
          <w:p>
            <w:pPr>
              <w:spacing w:after="40"/>
            </w:pPr>
            <w:r>
              <w:rPr>
                <w:sz w:val="16"/>
              </w:rPr>
              <w:t>Mechanics state estimate, waveform prediction, uncertainty, candidate simulation.</w:t>
            </w:r>
          </w:p>
        </w:tc>
        <w:tc>
          <w:tcPr>
            <w:tcW w:type="dxa" w:w="3331"/>
            <w:vAlign w:val="center"/>
          </w:tcPr>
          <w:p>
            <w:pPr>
              <w:spacing w:after="40"/>
            </w:pPr>
            <w:r>
              <w:rPr>
                <w:sz w:val="16"/>
              </w:rPr>
              <w:t>Interpretable physics-informed estimator with compact learned residual model if data supports it.</w:t>
            </w:r>
          </w:p>
        </w:tc>
      </w:tr>
      <w:tr>
        <w:tc>
          <w:tcPr>
            <w:tcW w:type="dxa" w:w="3331"/>
            <w:vAlign w:val="center"/>
          </w:tcPr>
          <w:p>
            <w:pPr>
              <w:spacing w:after="40"/>
            </w:pPr>
            <w:r>
              <w:rPr>
                <w:sz w:val="16"/>
              </w:rPr>
              <w:t>Safety and display</w:t>
            </w:r>
          </w:p>
        </w:tc>
        <w:tc>
          <w:tcPr>
            <w:tcW w:type="dxa" w:w="3331"/>
            <w:vAlign w:val="center"/>
          </w:tcPr>
          <w:p>
            <w:pPr>
              <w:spacing w:after="40"/>
            </w:pPr>
            <w:r>
              <w:rPr>
                <w:sz w:val="16"/>
              </w:rPr>
              <w:t>Suppress invalid output, show estimates/uncertainty and context.</w:t>
            </w:r>
          </w:p>
        </w:tc>
        <w:tc>
          <w:tcPr>
            <w:tcW w:type="dxa" w:w="3331"/>
            <w:vAlign w:val="center"/>
          </w:tcPr>
          <w:p>
            <w:pPr>
              <w:spacing w:after="40"/>
            </w:pPr>
            <w:r>
              <w:rPr>
                <w:sz w:val="16"/>
              </w:rPr>
              <w:t>Local UI; explicit clinician review; no automatic actuation.</w:t>
            </w:r>
          </w:p>
        </w:tc>
      </w:tr>
      <w:tr>
        <w:tc>
          <w:tcPr>
            <w:tcW w:type="dxa" w:w="3331"/>
            <w:vAlign w:val="center"/>
          </w:tcPr>
          <w:p>
            <w:pPr>
              <w:spacing w:after="40"/>
            </w:pPr>
            <w:r>
              <w:rPr>
                <w:sz w:val="16"/>
              </w:rPr>
              <w:t>Operations</w:t>
            </w:r>
          </w:p>
        </w:tc>
        <w:tc>
          <w:tcPr>
            <w:tcW w:type="dxa" w:w="3331"/>
            <w:vAlign w:val="center"/>
          </w:tcPr>
          <w:p>
            <w:pPr>
              <w:spacing w:after="40"/>
            </w:pPr>
            <w:r>
              <w:rPr>
                <w:sz w:val="16"/>
              </w:rPr>
              <w:t>Model registry, audit log, access control, monitoring, offline updates.</w:t>
            </w:r>
          </w:p>
        </w:tc>
        <w:tc>
          <w:tcPr>
            <w:tcW w:type="dxa" w:w="3331"/>
            <w:vAlign w:val="center"/>
          </w:tcPr>
          <w:p>
            <w:pPr>
              <w:spacing w:after="40"/>
            </w:pPr>
            <w:r>
              <w:rPr>
                <w:sz w:val="16"/>
              </w:rPr>
              <w:t>Signed packages, encrypted local storage, role-based access and documented rollback.</w:t>
            </w:r>
          </w:p>
        </w:tc>
      </w:tr>
    </w:tbl>
    <w:p>
      <w:r>
        <w:t>Suggested repository components: data audit and preprocessing; model training/evaluation; inference package; ventilator adapter simulator; local UI; configuration and safety limits; model card and validation reports. Freeze preprocessing and model versions together so training and bedside inference cannot silently diverge.</w:t>
      </w:r>
    </w:p>
    <w:p>
      <w:pPr>
        <w:pStyle w:val="Heading1"/>
        <w:keepNext/>
      </w:pPr>
      <w:r>
        <w:t>6  Verification and validation strategy</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shd w:fill="12304A"/>
          </w:tcPr>
          <w:p>
            <w:r>
              <w:rPr>
                <w:b/>
                <w:color w:val="FFFFFF"/>
                <w:sz w:val="17"/>
              </w:rPr>
              <w:t>Stage</w:t>
            </w:r>
          </w:p>
        </w:tc>
        <w:tc>
          <w:tcPr>
            <w:tcW w:type="dxa" w:w="3331"/>
            <w:shd w:fill="12304A"/>
          </w:tcPr>
          <w:p>
            <w:r>
              <w:rPr>
                <w:b/>
                <w:color w:val="FFFFFF"/>
                <w:sz w:val="17"/>
              </w:rPr>
              <w:t>Evidence to collect</w:t>
            </w:r>
          </w:p>
        </w:tc>
        <w:tc>
          <w:tcPr>
            <w:tcW w:type="dxa" w:w="3331"/>
            <w:shd w:fill="12304A"/>
          </w:tcPr>
          <w:p>
            <w:r>
              <w:rPr>
                <w:b/>
                <w:color w:val="FFFFFF"/>
                <w:sz w:val="17"/>
              </w:rPr>
              <w:t>Gate to proceed</w:t>
            </w:r>
          </w:p>
        </w:tc>
      </w:tr>
      <w:tr>
        <w:tc>
          <w:tcPr>
            <w:tcW w:type="dxa" w:w="3331"/>
            <w:vAlign w:val="center"/>
          </w:tcPr>
          <w:p>
            <w:pPr>
              <w:spacing w:after="40"/>
            </w:pPr>
            <w:r>
              <w:rPr>
                <w:sz w:val="16"/>
              </w:rPr>
              <w:t>1. Data benchmark</w:t>
            </w:r>
          </w:p>
        </w:tc>
        <w:tc>
          <w:tcPr>
            <w:tcW w:type="dxa" w:w="3331"/>
            <w:vAlign w:val="center"/>
          </w:tcPr>
          <w:p>
            <w:pPr>
              <w:spacing w:after="40"/>
            </w:pPr>
            <w:r>
              <w:rPr>
                <w:sz w:val="16"/>
              </w:rPr>
              <w:t>Group-held-out pressure waveform performance; subgroup errors; reproducibility.</w:t>
            </w:r>
          </w:p>
        </w:tc>
        <w:tc>
          <w:tcPr>
            <w:tcW w:type="dxa" w:w="3331"/>
            <w:vAlign w:val="center"/>
          </w:tcPr>
          <w:p>
            <w:pPr>
              <w:spacing w:after="40"/>
            </w:pPr>
            <w:r>
              <w:rPr>
                <w:sz w:val="16"/>
              </w:rPr>
              <w:t>Stable results across repeated seeds and no breath leakage.</w:t>
            </w:r>
          </w:p>
        </w:tc>
      </w:tr>
      <w:tr>
        <w:tc>
          <w:tcPr>
            <w:tcW w:type="dxa" w:w="3331"/>
            <w:vAlign w:val="center"/>
          </w:tcPr>
          <w:p>
            <w:pPr>
              <w:spacing w:after="40"/>
            </w:pPr>
            <w:r>
              <w:rPr>
                <w:sz w:val="16"/>
              </w:rPr>
              <w:t>2. Simulator / bench replay</w:t>
            </w:r>
          </w:p>
        </w:tc>
        <w:tc>
          <w:tcPr>
            <w:tcW w:type="dxa" w:w="3331"/>
            <w:vAlign w:val="center"/>
          </w:tcPr>
          <w:p>
            <w:pPr>
              <w:spacing w:after="40"/>
            </w:pPr>
            <w:r>
              <w:rPr>
                <w:sz w:val="16"/>
              </w:rPr>
              <w:t>Real-time replay, missing data, mode changes, noisy sensors, edge latency, power recovery.</w:t>
            </w:r>
          </w:p>
        </w:tc>
        <w:tc>
          <w:tcPr>
            <w:tcW w:type="dxa" w:w="3331"/>
            <w:vAlign w:val="center"/>
          </w:tcPr>
          <w:p>
            <w:pPr>
              <w:spacing w:after="40"/>
            </w:pPr>
            <w:r>
              <w:rPr>
                <w:sz w:val="16"/>
              </w:rPr>
              <w:t>All invalid/stale conditions suppress output; inference remains within the agreed latency budget.</w:t>
            </w:r>
          </w:p>
        </w:tc>
      </w:tr>
      <w:tr>
        <w:tc>
          <w:tcPr>
            <w:tcW w:type="dxa" w:w="3331"/>
            <w:vAlign w:val="center"/>
          </w:tcPr>
          <w:p>
            <w:pPr>
              <w:spacing w:after="40"/>
            </w:pPr>
            <w:r>
              <w:rPr>
                <w:sz w:val="16"/>
              </w:rPr>
              <w:t>3. Hardware-in-loop</w:t>
            </w:r>
          </w:p>
        </w:tc>
        <w:tc>
          <w:tcPr>
            <w:tcW w:type="dxa" w:w="3331"/>
            <w:vAlign w:val="center"/>
          </w:tcPr>
          <w:p>
            <w:pPr>
              <w:spacing w:after="40"/>
            </w:pPr>
            <w:r>
              <w:rPr>
                <w:sz w:val="16"/>
              </w:rPr>
              <w:t>Read-only interface against a test ventilator or validated simulator; protocol and timing.</w:t>
            </w:r>
          </w:p>
        </w:tc>
        <w:tc>
          <w:tcPr>
            <w:tcW w:type="dxa" w:w="3331"/>
            <w:vAlign w:val="center"/>
          </w:tcPr>
          <w:p>
            <w:pPr>
              <w:spacing w:after="40"/>
            </w:pPr>
            <w:r>
              <w:rPr>
                <w:sz w:val="16"/>
              </w:rPr>
              <w:t>No control writes; correct units, timestamps, and failure handling.</w:t>
            </w:r>
          </w:p>
        </w:tc>
      </w:tr>
      <w:tr>
        <w:tc>
          <w:tcPr>
            <w:tcW w:type="dxa" w:w="3331"/>
            <w:vAlign w:val="center"/>
          </w:tcPr>
          <w:p>
            <w:pPr>
              <w:spacing w:after="40"/>
            </w:pPr>
            <w:r>
              <w:rPr>
                <w:sz w:val="16"/>
              </w:rPr>
              <w:t>4. Retrospective clinical data</w:t>
            </w:r>
          </w:p>
        </w:tc>
        <w:tc>
          <w:tcPr>
            <w:tcW w:type="dxa" w:w="3331"/>
            <w:vAlign w:val="center"/>
          </w:tcPr>
          <w:p>
            <w:pPr>
              <w:spacing w:after="40"/>
            </w:pPr>
            <w:r>
              <w:rPr>
                <w:sz w:val="16"/>
              </w:rPr>
              <w:t>Approved, de-identified waveform data paired with settings and clinical context; patient-level splits.</w:t>
            </w:r>
          </w:p>
        </w:tc>
        <w:tc>
          <w:tcPr>
            <w:tcW w:type="dxa" w:w="3331"/>
            <w:vAlign w:val="center"/>
          </w:tcPr>
          <w:p>
            <w:pPr>
              <w:spacing w:after="40"/>
            </w:pPr>
            <w:r>
              <w:rPr>
                <w:sz w:val="16"/>
              </w:rPr>
              <w:t>Performance and calibration reviewed across sites/devices/subgroups; external validation plan accepted.</w:t>
            </w:r>
          </w:p>
        </w:tc>
      </w:tr>
      <w:tr>
        <w:tc>
          <w:tcPr>
            <w:tcW w:type="dxa" w:w="3331"/>
            <w:vAlign w:val="center"/>
          </w:tcPr>
          <w:p>
            <w:pPr>
              <w:spacing w:after="40"/>
            </w:pPr>
            <w:r>
              <w:rPr>
                <w:sz w:val="16"/>
              </w:rPr>
              <w:t>5. Prospective silent mode</w:t>
            </w:r>
          </w:p>
        </w:tc>
        <w:tc>
          <w:tcPr>
            <w:tcW w:type="dxa" w:w="3331"/>
            <w:vAlign w:val="center"/>
          </w:tcPr>
          <w:p>
            <w:pPr>
              <w:spacing w:after="40"/>
            </w:pPr>
            <w:r>
              <w:rPr>
                <w:sz w:val="16"/>
              </w:rPr>
              <w:t>Run bedside without showing actionable recommendations or changing care; compare predictions to observed data.</w:t>
            </w:r>
          </w:p>
        </w:tc>
        <w:tc>
          <w:tcPr>
            <w:tcW w:type="dxa" w:w="3331"/>
            <w:vAlign w:val="center"/>
          </w:tcPr>
          <w:p>
            <w:pPr>
              <w:spacing w:after="40"/>
            </w:pPr>
            <w:r>
              <w:rPr>
                <w:sz w:val="16"/>
              </w:rPr>
              <w:t>Clinical safety, workflow, and data quality criteria met under ethics/regulatory oversight.</w:t>
            </w:r>
          </w:p>
        </w:tc>
      </w:tr>
      <w:tr>
        <w:tc>
          <w:tcPr>
            <w:tcW w:type="dxa" w:w="3331"/>
            <w:vAlign w:val="center"/>
          </w:tcPr>
          <w:p>
            <w:pPr>
              <w:spacing w:after="40"/>
            </w:pPr>
            <w:r>
              <w:rPr>
                <w:sz w:val="16"/>
              </w:rPr>
              <w:t>6. Interventional evaluation</w:t>
            </w:r>
          </w:p>
        </w:tc>
        <w:tc>
          <w:tcPr>
            <w:tcW w:type="dxa" w:w="3331"/>
            <w:vAlign w:val="center"/>
          </w:tcPr>
          <w:p>
            <w:pPr>
              <w:spacing w:after="40"/>
            </w:pPr>
            <w:r>
              <w:rPr>
                <w:sz w:val="16"/>
              </w:rPr>
              <w:t>Only after expert, ethics, regulatory, and institutional approvals; clinician remains in control.</w:t>
            </w:r>
          </w:p>
        </w:tc>
        <w:tc>
          <w:tcPr>
            <w:tcW w:type="dxa" w:w="3331"/>
            <w:vAlign w:val="center"/>
          </w:tcPr>
          <w:p>
            <w:pPr>
              <w:spacing w:after="40"/>
            </w:pPr>
            <w:r>
              <w:rPr>
                <w:sz w:val="16"/>
              </w:rPr>
              <w:t>Predefined protocol demonstrates safety and clinical utility before broader use.</w:t>
            </w:r>
          </w:p>
        </w:tc>
      </w:tr>
    </w:tbl>
    <w:p>
      <w:r>
        <w:t>Metrics should include waveform MAE/RMSE, peak and plateau pressure errors where measurable, predicted versus observed change after setting adjustments, uncertainty calibration, false reassurance rate, abstention rate, subgroup/device performance, latency, uptime, and usability. Clinical endpoints require a powered clinical study; they cannot be inferred from the Kaggle benchmark.</w:t>
      </w:r>
    </w:p>
    <w:p>
      <w:pPr>
        <w:pStyle w:val="Heading1"/>
        <w:keepNext/>
      </w:pPr>
      <w:r>
        <w:t>7  Safety, privacy, and governance</w:t>
      </w:r>
    </w:p>
    <w:p>
      <w:pPr>
        <w:pStyle w:val="ListBullet"/>
        <w:spacing w:after="40"/>
      </w:pPr>
      <w:r>
        <w:t>Keep the first implementation read-only and clinician-facing. Do not connect the prototype to an actuator or automate setting changes.</w:t>
      </w:r>
    </w:p>
    <w:p>
      <w:pPr>
        <w:pStyle w:val="ListBullet"/>
        <w:spacing w:after="40"/>
      </w:pPr>
      <w:r>
        <w:t>Create a hazard analysis for wrong pressure forecasts, sensor faults, stale values, mode mismatch, model drift, confusing displays, and unavailable hardware. Define mitigations, safe states, and traceable requirements.</w:t>
      </w:r>
    </w:p>
    <w:p>
      <w:pPr>
        <w:pStyle w:val="ListBullet"/>
        <w:spacing w:after="40"/>
      </w:pPr>
      <w:r>
        <w:t>Establish clinician ownership of permissible ranges and interpretation. Label predicted values as estimates, display uncertainty and signal freshness, and abstain when reliability checks fail.</w:t>
      </w:r>
    </w:p>
    <w:p>
      <w:pPr>
        <w:pStyle w:val="ListBullet"/>
        <w:spacing w:after="40"/>
      </w:pPr>
      <w:r>
        <w:t>Use only approved data with documented consent/authorization, de-identification where applicable, access controls, retention limits, and local audit procedures. Offline operation reduces network exposure but does not alone establish legal compliance.</w:t>
      </w:r>
    </w:p>
    <w:p>
      <w:pPr>
        <w:pStyle w:val="ListBullet"/>
        <w:spacing w:after="40"/>
      </w:pPr>
      <w:r>
        <w:t>Determine applicable medical-device and clinical decision-support requirements with the institution and relevant regulators before any clinical deployment. FDA guidance notes that software interpreting clinical implications of signals may fall within device software functions depending on intended use [2].</w:t>
      </w:r>
    </w:p>
    <w:p>
      <w:pPr>
        <w:pStyle w:val="ListBullet"/>
        <w:spacing w:after="40"/>
      </w:pPr>
      <w:r>
        <w:t>Any model updating after deployment needs controlled validation, versioning, rollback, and review. “Continuously learns” should mean governed state estimation within an approved patient session at first, not uncontrolled model retraining across patients.</w:t>
      </w:r>
    </w:p>
    <w:p>
      <w:pPr>
        <w:pStyle w:val="Heading1"/>
        <w:keepNext/>
      </w:pPr>
      <w:r>
        <w:t>8  Schedule and deliverables</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shd w:fill="12304A"/>
          </w:tcPr>
          <w:p>
            <w:r>
              <w:rPr>
                <w:b/>
                <w:color w:val="FFFFFF"/>
                <w:sz w:val="17"/>
              </w:rPr>
              <w:t>Phase</w:t>
            </w:r>
          </w:p>
        </w:tc>
        <w:tc>
          <w:tcPr>
            <w:tcW w:type="dxa" w:w="3331"/>
            <w:shd w:fill="12304A"/>
          </w:tcPr>
          <w:p>
            <w:r>
              <w:rPr>
                <w:b/>
                <w:color w:val="FFFFFF"/>
                <w:sz w:val="17"/>
              </w:rPr>
              <w:t>Indicative duration</w:t>
            </w:r>
          </w:p>
        </w:tc>
        <w:tc>
          <w:tcPr>
            <w:tcW w:type="dxa" w:w="3331"/>
            <w:shd w:fill="12304A"/>
          </w:tcPr>
          <w:p>
            <w:r>
              <w:rPr>
                <w:b/>
                <w:color w:val="FFFFFF"/>
                <w:sz w:val="17"/>
              </w:rPr>
              <w:t>Deliverable</w:t>
            </w:r>
          </w:p>
        </w:tc>
      </w:tr>
      <w:tr>
        <w:tc>
          <w:tcPr>
            <w:tcW w:type="dxa" w:w="3331"/>
            <w:vAlign w:val="center"/>
          </w:tcPr>
          <w:p>
            <w:pPr>
              <w:spacing w:after="40"/>
            </w:pPr>
            <w:r>
              <w:rPr>
                <w:sz w:val="16"/>
              </w:rPr>
              <w:t>0. Scope and requirements</w:t>
            </w:r>
          </w:p>
        </w:tc>
        <w:tc>
          <w:tcPr>
            <w:tcW w:type="dxa" w:w="3331"/>
            <w:vAlign w:val="center"/>
          </w:tcPr>
          <w:p>
            <w:pPr>
              <w:spacing w:after="40"/>
            </w:pPr>
            <w:r>
              <w:rPr>
                <w:sz w:val="16"/>
              </w:rPr>
              <w:t>2–3 weeks</w:t>
            </w:r>
          </w:p>
        </w:tc>
        <w:tc>
          <w:tcPr>
            <w:tcW w:type="dxa" w:w="3331"/>
            <w:vAlign w:val="center"/>
          </w:tcPr>
          <w:p>
            <w:pPr>
              <w:spacing w:after="40"/>
            </w:pPr>
            <w:r>
              <w:rPr>
                <w:sz w:val="16"/>
              </w:rPr>
              <w:t>Confirmed abstract, intended-use statement, clinician requirements, device/data access plan, risk register.</w:t>
            </w:r>
          </w:p>
        </w:tc>
      </w:tr>
      <w:tr>
        <w:tc>
          <w:tcPr>
            <w:tcW w:type="dxa" w:w="3331"/>
            <w:vAlign w:val="center"/>
          </w:tcPr>
          <w:p>
            <w:pPr>
              <w:spacing w:after="40"/>
            </w:pPr>
            <w:r>
              <w:rPr>
                <w:sz w:val="16"/>
              </w:rPr>
              <w:t>1. Dataset benchmark</w:t>
            </w:r>
          </w:p>
        </w:tc>
        <w:tc>
          <w:tcPr>
            <w:tcW w:type="dxa" w:w="3331"/>
            <w:vAlign w:val="center"/>
          </w:tcPr>
          <w:p>
            <w:pPr>
              <w:spacing w:after="40"/>
            </w:pPr>
            <w:r>
              <w:rPr>
                <w:sz w:val="16"/>
              </w:rPr>
              <w:t>3–5 weeks</w:t>
            </w:r>
          </w:p>
        </w:tc>
        <w:tc>
          <w:tcPr>
            <w:tcW w:type="dxa" w:w="3331"/>
            <w:vAlign w:val="center"/>
          </w:tcPr>
          <w:p>
            <w:pPr>
              <w:spacing w:after="40"/>
            </w:pPr>
            <w:r>
              <w:rPr>
                <w:sz w:val="16"/>
              </w:rPr>
              <w:t>Data dictionary, leakage-safe splits, baselines, model comparison, limitations report.</w:t>
            </w:r>
          </w:p>
        </w:tc>
      </w:tr>
      <w:tr>
        <w:tc>
          <w:tcPr>
            <w:tcW w:type="dxa" w:w="3331"/>
            <w:vAlign w:val="center"/>
          </w:tcPr>
          <w:p>
            <w:pPr>
              <w:spacing w:after="40"/>
            </w:pPr>
            <w:r>
              <w:rPr>
                <w:sz w:val="16"/>
              </w:rPr>
              <w:t>2. Twin prototype in replay</w:t>
            </w:r>
          </w:p>
        </w:tc>
        <w:tc>
          <w:tcPr>
            <w:tcW w:type="dxa" w:w="3331"/>
            <w:vAlign w:val="center"/>
          </w:tcPr>
          <w:p>
            <w:pPr>
              <w:spacing w:after="40"/>
            </w:pPr>
            <w:r>
              <w:rPr>
                <w:sz w:val="16"/>
              </w:rPr>
              <w:t>4–6 weeks</w:t>
            </w:r>
          </w:p>
        </w:tc>
        <w:tc>
          <w:tcPr>
            <w:tcW w:type="dxa" w:w="3331"/>
            <w:vAlign w:val="center"/>
          </w:tcPr>
          <w:p>
            <w:pPr>
              <w:spacing w:after="40"/>
            </w:pPr>
            <w:r>
              <w:rPr>
                <w:sz w:val="16"/>
              </w:rPr>
              <w:t>Local inference engine, mechanics state estimator, counterfactual replay, uncertainty and abstention.</w:t>
            </w:r>
          </w:p>
        </w:tc>
      </w:tr>
      <w:tr>
        <w:tc>
          <w:tcPr>
            <w:tcW w:type="dxa" w:w="3331"/>
            <w:vAlign w:val="center"/>
          </w:tcPr>
          <w:p>
            <w:pPr>
              <w:spacing w:after="40"/>
            </w:pPr>
            <w:r>
              <w:rPr>
                <w:sz w:val="16"/>
              </w:rPr>
              <w:t>3. Edge integration in lab</w:t>
            </w:r>
          </w:p>
        </w:tc>
        <w:tc>
          <w:tcPr>
            <w:tcW w:type="dxa" w:w="3331"/>
            <w:vAlign w:val="center"/>
          </w:tcPr>
          <w:p>
            <w:pPr>
              <w:spacing w:after="40"/>
            </w:pPr>
            <w:r>
              <w:rPr>
                <w:sz w:val="16"/>
              </w:rPr>
              <w:t>4–8 weeks</w:t>
            </w:r>
          </w:p>
        </w:tc>
        <w:tc>
          <w:tcPr>
            <w:tcW w:type="dxa" w:w="3331"/>
            <w:vAlign w:val="center"/>
          </w:tcPr>
          <w:p>
            <w:pPr>
              <w:spacing w:after="40"/>
            </w:pPr>
            <w:r>
              <w:rPr>
                <w:sz w:val="16"/>
              </w:rPr>
              <w:t>Offline edge deployment, read-only device adapter or simulator, latency/reliability report, local UI.</w:t>
            </w:r>
          </w:p>
        </w:tc>
      </w:tr>
      <w:tr>
        <w:tc>
          <w:tcPr>
            <w:tcW w:type="dxa" w:w="3331"/>
            <w:vAlign w:val="center"/>
          </w:tcPr>
          <w:p>
            <w:pPr>
              <w:spacing w:after="40"/>
            </w:pPr>
            <w:r>
              <w:rPr>
                <w:sz w:val="16"/>
              </w:rPr>
              <w:t>4. Clinical data validation</w:t>
            </w:r>
          </w:p>
        </w:tc>
        <w:tc>
          <w:tcPr>
            <w:tcW w:type="dxa" w:w="3331"/>
            <w:vAlign w:val="center"/>
          </w:tcPr>
          <w:p>
            <w:pPr>
              <w:spacing w:after="40"/>
            </w:pPr>
            <w:r>
              <w:rPr>
                <w:sz w:val="16"/>
              </w:rPr>
              <w:t>Timeline depends on approvals/data access</w:t>
            </w:r>
          </w:p>
        </w:tc>
        <w:tc>
          <w:tcPr>
            <w:tcW w:type="dxa" w:w="3331"/>
            <w:vAlign w:val="center"/>
          </w:tcPr>
          <w:p>
            <w:pPr>
              <w:spacing w:after="40"/>
            </w:pPr>
            <w:r>
              <w:rPr>
                <w:sz w:val="16"/>
              </w:rPr>
              <w:t>Retrospective patient-level validation, calibration/subgroup report, external validation plan.</w:t>
            </w:r>
          </w:p>
        </w:tc>
      </w:tr>
      <w:tr>
        <w:tc>
          <w:tcPr>
            <w:tcW w:type="dxa" w:w="3331"/>
            <w:vAlign w:val="center"/>
          </w:tcPr>
          <w:p>
            <w:pPr>
              <w:spacing w:after="40"/>
            </w:pPr>
            <w:r>
              <w:rPr>
                <w:sz w:val="16"/>
              </w:rPr>
              <w:t>5. Prospective evaluation</w:t>
            </w:r>
          </w:p>
        </w:tc>
        <w:tc>
          <w:tcPr>
            <w:tcW w:type="dxa" w:w="3331"/>
            <w:vAlign w:val="center"/>
          </w:tcPr>
          <w:p>
            <w:pPr>
              <w:spacing w:after="40"/>
            </w:pPr>
            <w:r>
              <w:rPr>
                <w:sz w:val="16"/>
              </w:rPr>
              <w:t>Protocol and approvals dependent</w:t>
            </w:r>
          </w:p>
        </w:tc>
        <w:tc>
          <w:tcPr>
            <w:tcW w:type="dxa" w:w="3331"/>
            <w:vAlign w:val="center"/>
          </w:tcPr>
          <w:p>
            <w:pPr>
              <w:spacing w:after="40"/>
            </w:pPr>
            <w:r>
              <w:rPr>
                <w:sz w:val="16"/>
              </w:rPr>
              <w:t>Silent-mode usability/safety study; later interventional study only if authorized.</w:t>
            </w:r>
          </w:p>
        </w:tc>
      </w:tr>
    </w:tbl>
    <w:p>
      <w:r>
        <w:t>The first four phases can produce an engineering research prototype. The latter phases are prerequisites for claims about patient-specific clinical benefit and use in care. Timelines are planning estimates and depend heavily on access to clinicians, ventilator interfaces, hardware, and approved patient data.</w:t>
      </w:r>
    </w:p>
    <w:p>
      <w:pPr>
        <w:pStyle w:val="Heading1"/>
        <w:keepNext/>
      </w:pPr>
      <w:r>
        <w:t>9  Risks and decisions</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shd w:fill="12304A"/>
          </w:tcPr>
          <w:p>
            <w:r>
              <w:rPr>
                <w:b/>
                <w:color w:val="FFFFFF"/>
                <w:sz w:val="17"/>
              </w:rPr>
              <w:t>Risk or dependency</w:t>
            </w:r>
          </w:p>
        </w:tc>
        <w:tc>
          <w:tcPr>
            <w:tcW w:type="dxa" w:w="3331"/>
            <w:shd w:fill="12304A"/>
          </w:tcPr>
          <w:p>
            <w:r>
              <w:rPr>
                <w:b/>
                <w:color w:val="FFFFFF"/>
                <w:sz w:val="17"/>
              </w:rPr>
              <w:t>Why it matters</w:t>
            </w:r>
          </w:p>
        </w:tc>
        <w:tc>
          <w:tcPr>
            <w:tcW w:type="dxa" w:w="3331"/>
            <w:shd w:fill="12304A"/>
          </w:tcPr>
          <w:p>
            <w:r>
              <w:rPr>
                <w:b/>
                <w:color w:val="FFFFFF"/>
                <w:sz w:val="17"/>
              </w:rPr>
              <w:t>Planned response</w:t>
            </w:r>
          </w:p>
        </w:tc>
      </w:tr>
      <w:tr>
        <w:tc>
          <w:tcPr>
            <w:tcW w:type="dxa" w:w="3331"/>
            <w:vAlign w:val="center"/>
          </w:tcPr>
          <w:p>
            <w:pPr>
              <w:spacing w:after="40"/>
            </w:pPr>
            <w:r>
              <w:rPr>
                <w:sz w:val="16"/>
              </w:rPr>
              <w:t>Bench-to-patient gap</w:t>
            </w:r>
          </w:p>
        </w:tc>
        <w:tc>
          <w:tcPr>
            <w:tcW w:type="dxa" w:w="3331"/>
            <w:vAlign w:val="center"/>
          </w:tcPr>
          <w:p>
            <w:pPr>
              <w:spacing w:after="40"/>
            </w:pPr>
            <w:r>
              <w:rPr>
                <w:sz w:val="16"/>
              </w:rPr>
              <w:t>Test lung waveforms do not capture biological variability, disease progression, leaks, spontaneous effort, or care context.</w:t>
            </w:r>
          </w:p>
        </w:tc>
        <w:tc>
          <w:tcPr>
            <w:tcW w:type="dxa" w:w="3331"/>
            <w:vAlign w:val="center"/>
          </w:tcPr>
          <w:p>
            <w:pPr>
              <w:spacing w:after="40"/>
            </w:pPr>
            <w:r>
              <w:rPr>
                <w:sz w:val="16"/>
              </w:rPr>
              <w:t>Treat Kaggle model as a baseline; obtain representative clinical waveforms and validate by patient and site.</w:t>
            </w:r>
          </w:p>
        </w:tc>
      </w:tr>
      <w:tr>
        <w:tc>
          <w:tcPr>
            <w:tcW w:type="dxa" w:w="3331"/>
            <w:vAlign w:val="center"/>
          </w:tcPr>
          <w:p>
            <w:pPr>
              <w:spacing w:after="40"/>
            </w:pPr>
            <w:r>
              <w:rPr>
                <w:sz w:val="16"/>
              </w:rPr>
              <w:t>Counterfactual validity</w:t>
            </w:r>
          </w:p>
        </w:tc>
        <w:tc>
          <w:tcPr>
            <w:tcW w:type="dxa" w:w="3331"/>
            <w:vAlign w:val="center"/>
          </w:tcPr>
          <w:p>
            <w:pPr>
              <w:spacing w:after="40"/>
            </w:pPr>
            <w:r>
              <w:rPr>
                <w:sz w:val="16"/>
              </w:rPr>
              <w:t>A model that predicts pressure under observed inputs may not predict what happens under changed settings.</w:t>
            </w:r>
          </w:p>
        </w:tc>
        <w:tc>
          <w:tcPr>
            <w:tcW w:type="dxa" w:w="3331"/>
            <w:vAlign w:val="center"/>
          </w:tcPr>
          <w:p>
            <w:pPr>
              <w:spacing w:after="40"/>
            </w:pPr>
            <w:r>
              <w:rPr>
                <w:sz w:val="16"/>
              </w:rPr>
              <w:t>Build/validate a causal or mechanics-based simulator using interventions or controlled bench experiments.</w:t>
            </w:r>
          </w:p>
        </w:tc>
      </w:tr>
      <w:tr>
        <w:tc>
          <w:tcPr>
            <w:tcW w:type="dxa" w:w="3331"/>
            <w:vAlign w:val="center"/>
          </w:tcPr>
          <w:p>
            <w:pPr>
              <w:spacing w:after="40"/>
            </w:pPr>
            <w:r>
              <w:rPr>
                <w:sz w:val="16"/>
              </w:rPr>
              <w:t>No hardware/interface specified</w:t>
            </w:r>
          </w:p>
        </w:tc>
        <w:tc>
          <w:tcPr>
            <w:tcW w:type="dxa" w:w="3331"/>
            <w:vAlign w:val="center"/>
          </w:tcPr>
          <w:p>
            <w:pPr>
              <w:spacing w:after="40"/>
            </w:pPr>
            <w:r>
              <w:rPr>
                <w:sz w:val="16"/>
              </w:rPr>
              <w:t>Sampling, signal channels, licensing, and connectivity vary across ventilators.</w:t>
            </w:r>
          </w:p>
        </w:tc>
        <w:tc>
          <w:tcPr>
            <w:tcW w:type="dxa" w:w="3331"/>
            <w:vAlign w:val="center"/>
          </w:tcPr>
          <w:p>
            <w:pPr>
              <w:spacing w:after="40"/>
            </w:pPr>
            <w:r>
              <w:rPr>
                <w:sz w:val="16"/>
              </w:rPr>
              <w:t>Select target ventilator and read-only interface before integration work.</w:t>
            </w:r>
          </w:p>
        </w:tc>
      </w:tr>
      <w:tr>
        <w:tc>
          <w:tcPr>
            <w:tcW w:type="dxa" w:w="3331"/>
            <w:vAlign w:val="center"/>
          </w:tcPr>
          <w:p>
            <w:pPr>
              <w:spacing w:after="40"/>
            </w:pPr>
            <w:r>
              <w:rPr>
                <w:sz w:val="16"/>
              </w:rPr>
              <w:t>Clinical use and regulatory path</w:t>
            </w:r>
          </w:p>
        </w:tc>
        <w:tc>
          <w:tcPr>
            <w:tcW w:type="dxa" w:w="3331"/>
            <w:vAlign w:val="center"/>
          </w:tcPr>
          <w:p>
            <w:pPr>
              <w:spacing w:after="40"/>
            </w:pPr>
            <w:r>
              <w:rPr>
                <w:sz w:val="16"/>
              </w:rPr>
              <w:t>Intended use and automation level affect evidence and oversight needs.</w:t>
            </w:r>
          </w:p>
        </w:tc>
        <w:tc>
          <w:tcPr>
            <w:tcW w:type="dxa" w:w="3331"/>
            <w:vAlign w:val="center"/>
          </w:tcPr>
          <w:p>
            <w:pPr>
              <w:spacing w:after="40"/>
            </w:pPr>
            <w:r>
              <w:rPr>
                <w:sz w:val="16"/>
              </w:rPr>
              <w:t>Agree intended use with clinical, safety, privacy, and regulatory stakeholders early.</w:t>
            </w:r>
          </w:p>
        </w:tc>
      </w:tr>
      <w:tr>
        <w:tc>
          <w:tcPr>
            <w:tcW w:type="dxa" w:w="3331"/>
            <w:vAlign w:val="center"/>
          </w:tcPr>
          <w:p>
            <w:pPr>
              <w:spacing w:after="40"/>
            </w:pPr>
            <w:r>
              <w:rPr>
                <w:sz w:val="16"/>
              </w:rPr>
              <w:t>“Continuous learning” ambiguity</w:t>
            </w:r>
          </w:p>
        </w:tc>
        <w:tc>
          <w:tcPr>
            <w:tcW w:type="dxa" w:w="3331"/>
            <w:vAlign w:val="center"/>
          </w:tcPr>
          <w:p>
            <w:pPr>
              <w:spacing w:after="40"/>
            </w:pPr>
            <w:r>
              <w:rPr>
                <w:sz w:val="16"/>
              </w:rPr>
              <w:t>Uncontrolled updates can make behavior unpredictable and hard to validate.</w:t>
            </w:r>
          </w:p>
        </w:tc>
        <w:tc>
          <w:tcPr>
            <w:tcW w:type="dxa" w:w="3331"/>
            <w:vAlign w:val="center"/>
          </w:tcPr>
          <w:p>
            <w:pPr>
              <w:spacing w:after="40"/>
            </w:pPr>
            <w:r>
              <w:rPr>
                <w:sz w:val="16"/>
              </w:rPr>
              <w:t>Separate session-level mechanics-state adaptation from population-model retraining; govern both.</w:t>
            </w:r>
          </w:p>
        </w:tc>
      </w:tr>
    </w:tbl>
    <w:p>
      <w:pPr>
        <w:pStyle w:val="Heading1"/>
        <w:keepNext/>
      </w:pPr>
      <w:r>
        <w:t>10  Clarifications needed</w:t>
      </w:r>
    </w:p>
    <w:p>
      <w:pPr>
        <w:pStyle w:val="ListNumber"/>
        <w:spacing w:after="40"/>
      </w:pPr>
      <w:r>
        <w:t>Please add or paste the abstract, or point me to its exact filename and location. It was not present in the inspected project folder.</w:t>
      </w:r>
    </w:p>
    <w:p>
      <w:pPr>
        <w:pStyle w:val="ListNumber"/>
        <w:spacing w:after="40"/>
      </w:pPr>
      <w:r>
        <w:t>Is the expected output an academic prototype and dissertation, or a bedside research prototype? What is the project deadline and required deliverables?</w:t>
      </w:r>
    </w:p>
    <w:p>
      <w:pPr>
        <w:pStyle w:val="ListNumber"/>
        <w:spacing w:after="40"/>
      </w:pPr>
      <w:r>
        <w:t>Which ventilator model/interface and edge hardware are available, and can the team obtain read-only waveform exports or a ventilator simulator?</w:t>
      </w:r>
    </w:p>
    <w:p>
      <w:pPr>
        <w:pStyle w:val="ListNumber"/>
        <w:spacing w:after="40"/>
      </w:pPr>
      <w:r>
        <w:t>Can you access de-identified patient waveform data with ventilator settings over time, or is the supplied Kaggle dataset the only data available?</w:t>
      </w:r>
    </w:p>
    <w:p>
      <w:pPr>
        <w:pStyle w:val="ListNumber"/>
        <w:spacing w:after="40"/>
      </w:pPr>
      <w:r>
        <w:t>Which clinical collaborators can define the intended user, acceptable output, candidate setting ranges, and validation protocol?</w:t>
      </w:r>
    </w:p>
    <w:p>
      <w:pPr>
        <w:pStyle w:val="ListNumber"/>
        <w:spacing w:after="40"/>
      </w:pPr>
      <w:r>
        <w:t>Should TwinVent only display predicted consequences, or is future ventilator actuation in scope? The safe initial plan assumes clinician-reviewed display only.</w:t>
      </w:r>
    </w:p>
    <w:p>
      <w:pPr>
        <w:pStyle w:val="Heading1"/>
        <w:keepNext/>
      </w:pPr>
      <w:r>
        <w:t>References and data provenance</w:t>
      </w:r>
    </w:p>
    <w:p>
      <w:r>
        <w:t>[1] Google Brain Ventilator Pressure Prediction competition data description. Kaggle states the records were generated using a modified open-source ventilator and artificial bellows test lung. https://www.kaggle.com/competitions/ventilator-pressure-prediction/data</w:t>
      </w:r>
    </w:p>
    <w:p>
      <w:r>
        <w:t>[2] U.S. Food and Drug Administration, Clinical Decision Support Software guidance and FAQs. https://www.fda.gov/medical-devices/software-medical-device-samd/clinical-decision-support-software</w:t>
      </w:r>
    </w:p>
    <w:p>
      <w:r>
        <w:t>The dataset counts and column summaries in this plan were computed from the files currently present in the project folder. The abstract, hardware target, ventilator interface, patient data availability, and institutional/regulatory pathway remain to be confirmed.</w:t>
      </w:r>
    </w:p>
    <w:sectPr w:rsidR="00FC693F" w:rsidRPr="0006063C" w:rsidSect="00034616">
      <w:headerReference w:type="default" r:id="rId9"/>
      <w:footerReference w:type="default" r:id="rId10"/>
      <w:pgSz w:w="12240" w:h="15840"/>
      <w:pgMar w:top="979"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707C"/>
        <w:sz w:val="16"/>
      </w:rPr>
      <w:t xml:space="preserve">Project planning document  •  29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b/>
        <w:color w:val="087E8B"/>
      </w:rPr>
      <w:t>TWINVENT  |  PROJECT IMPLEMENTATION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7344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2304A"/>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087E8B"/>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12304A"/>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200"/>
      <w:contextualSpacing/>
    </w:pPr>
    <w:rPr>
      <w:rFonts w:asciiTheme="majorHAnsi" w:eastAsiaTheme="majorEastAsia" w:hAnsiTheme="majorHAnsi" w:cstheme="majorBidi" w:ascii="Aptos Display" w:hAnsi="Aptos Display"/>
      <w:b/>
      <w:color w:val="12304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TwinVent Project Plan</dc:title>
  <dc:subject>Offline patient-specific pulmonary digital twin implementation plan</dc:subject>
  <dc:creator>TwinVent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