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F4A32C" w14:textId="3702005C" w:rsidR="00873138" w:rsidRPr="00873138" w:rsidRDefault="00873138" w:rsidP="003A32FF">
      <w:pPr>
        <w:pStyle w:val="Prrafodelista"/>
        <w:numPr>
          <w:ilvl w:val="0"/>
          <w:numId w:val="1"/>
        </w:numPr>
        <w:jc w:val="both"/>
        <w:rPr>
          <w:lang w:val="es-ES_tradnl"/>
        </w:rPr>
      </w:pPr>
      <w:r>
        <w:rPr>
          <w:lang w:val="es-ES_tradnl"/>
        </w:rPr>
        <w:t xml:space="preserve">Ejercicio 1 (Total </w:t>
      </w:r>
      <w:r w:rsidR="000B4A9F">
        <w:rPr>
          <w:lang w:val="es-ES_tradnl"/>
        </w:rPr>
        <w:t>5,5 puntos</w:t>
      </w:r>
      <w:r>
        <w:rPr>
          <w:lang w:val="es-ES_tradnl"/>
        </w:rPr>
        <w:t xml:space="preserve">): </w:t>
      </w:r>
    </w:p>
    <w:p w14:paraId="17CCF9B8" w14:textId="0929D796" w:rsidR="00105448" w:rsidRPr="00105448" w:rsidRDefault="00105448" w:rsidP="003A32FF">
      <w:pPr>
        <w:pStyle w:val="NormalWeb"/>
        <w:numPr>
          <w:ilvl w:val="0"/>
          <w:numId w:val="2"/>
        </w:numPr>
        <w:ind w:left="1134"/>
        <w:jc w:val="both"/>
        <w:rPr>
          <w:rFonts w:asciiTheme="minorHAnsi" w:eastAsiaTheme="minorHAnsi" w:hAnsiTheme="minorHAnsi" w:cstheme="minorBidi"/>
          <w:sz w:val="22"/>
          <w:szCs w:val="22"/>
          <w:lang w:val="es-ES_tradnl" w:eastAsia="en-US"/>
        </w:rPr>
      </w:pPr>
      <w:r w:rsidRPr="00105448">
        <w:rPr>
          <w:rFonts w:asciiTheme="minorHAnsi" w:eastAsiaTheme="minorHAnsi" w:hAnsiTheme="minorHAnsi" w:cstheme="minorBidi"/>
          <w:sz w:val="22"/>
          <w:szCs w:val="22"/>
          <w:lang w:val="es-ES_tradnl" w:eastAsia="en-US"/>
        </w:rPr>
        <w:t>Limpia los datos de las cuatro entidades y calcula los rendimientos diarios a partir del precio de cierre.</w:t>
      </w:r>
      <w:r>
        <w:rPr>
          <w:rFonts w:asciiTheme="minorHAnsi" w:eastAsiaTheme="minorHAnsi" w:hAnsiTheme="minorHAnsi" w:cstheme="minorBidi"/>
          <w:sz w:val="22"/>
          <w:szCs w:val="22"/>
          <w:lang w:val="es-ES_tradnl" w:eastAsia="en-US"/>
        </w:rPr>
        <w:t xml:space="preserve"> (</w:t>
      </w:r>
      <w:r w:rsidR="000B4A9F">
        <w:rPr>
          <w:rFonts w:asciiTheme="minorHAnsi" w:eastAsiaTheme="minorHAnsi" w:hAnsiTheme="minorHAnsi" w:cstheme="minorBidi"/>
          <w:sz w:val="22"/>
          <w:szCs w:val="22"/>
          <w:lang w:val="es-ES_tradnl" w:eastAsia="en-US"/>
        </w:rPr>
        <w:t>0,5</w:t>
      </w:r>
      <w:r>
        <w:rPr>
          <w:rFonts w:asciiTheme="minorHAnsi" w:eastAsiaTheme="minorHAnsi" w:hAnsiTheme="minorHAnsi" w:cstheme="minorBidi"/>
          <w:sz w:val="22"/>
          <w:szCs w:val="22"/>
          <w:lang w:val="es-ES_tradnl" w:eastAsia="en-US"/>
        </w:rPr>
        <w:t xml:space="preserve"> punto</w:t>
      </w:r>
      <w:r w:rsidR="00944556">
        <w:rPr>
          <w:rFonts w:asciiTheme="minorHAnsi" w:eastAsiaTheme="minorHAnsi" w:hAnsiTheme="minorHAnsi" w:cstheme="minorBidi"/>
          <w:sz w:val="22"/>
          <w:szCs w:val="22"/>
          <w:lang w:val="es-ES_tradnl" w:eastAsia="en-US"/>
        </w:rPr>
        <w:t>s</w:t>
      </w:r>
      <w:r>
        <w:rPr>
          <w:rFonts w:asciiTheme="minorHAnsi" w:eastAsiaTheme="minorHAnsi" w:hAnsiTheme="minorHAnsi" w:cstheme="minorBidi"/>
          <w:sz w:val="22"/>
          <w:szCs w:val="22"/>
          <w:lang w:val="es-ES_tradnl" w:eastAsia="en-US"/>
        </w:rPr>
        <w:t>)</w:t>
      </w:r>
    </w:p>
    <w:p w14:paraId="6D652F6B" w14:textId="75B3AE12" w:rsidR="00944556" w:rsidRDefault="00105448" w:rsidP="003A32FF">
      <w:pPr>
        <w:pStyle w:val="NormalWeb"/>
        <w:numPr>
          <w:ilvl w:val="0"/>
          <w:numId w:val="2"/>
        </w:numPr>
        <w:ind w:left="1134"/>
        <w:jc w:val="both"/>
        <w:rPr>
          <w:rFonts w:asciiTheme="minorHAnsi" w:eastAsiaTheme="minorHAnsi" w:hAnsiTheme="minorHAnsi" w:cstheme="minorBidi"/>
          <w:sz w:val="22"/>
          <w:szCs w:val="22"/>
          <w:lang w:val="es-ES_tradnl" w:eastAsia="en-US"/>
        </w:rPr>
      </w:pPr>
      <w:r w:rsidRPr="00105448">
        <w:rPr>
          <w:rFonts w:asciiTheme="minorHAnsi" w:eastAsiaTheme="minorHAnsi" w:hAnsiTheme="minorHAnsi" w:cstheme="minorBidi"/>
          <w:sz w:val="22"/>
          <w:szCs w:val="22"/>
          <w:lang w:val="es-ES_tradnl" w:eastAsia="en-US"/>
        </w:rPr>
        <w:t xml:space="preserve">Para cada banco, calcula: rentabilidad acumulada, volatilidad diaria, peor pérdida diaria, mejor día, VaR al 99% y </w:t>
      </w:r>
      <w:proofErr w:type="spellStart"/>
      <w:r w:rsidRPr="00105448">
        <w:rPr>
          <w:rFonts w:asciiTheme="minorHAnsi" w:eastAsiaTheme="minorHAnsi" w:hAnsiTheme="minorHAnsi" w:cstheme="minorBidi"/>
          <w:sz w:val="22"/>
          <w:szCs w:val="22"/>
          <w:lang w:val="es-ES_tradnl" w:eastAsia="en-US"/>
        </w:rPr>
        <w:t>Expected</w:t>
      </w:r>
      <w:proofErr w:type="spellEnd"/>
      <w:r w:rsidRPr="00105448">
        <w:rPr>
          <w:rFonts w:asciiTheme="minorHAnsi" w:eastAsiaTheme="minorHAnsi" w:hAnsiTheme="minorHAnsi" w:cstheme="minorBidi"/>
          <w:sz w:val="22"/>
          <w:szCs w:val="22"/>
          <w:lang w:val="es-ES_tradnl" w:eastAsia="en-US"/>
        </w:rPr>
        <w:t xml:space="preserve"> </w:t>
      </w:r>
      <w:proofErr w:type="spellStart"/>
      <w:r w:rsidRPr="00105448">
        <w:rPr>
          <w:rFonts w:asciiTheme="minorHAnsi" w:eastAsiaTheme="minorHAnsi" w:hAnsiTheme="minorHAnsi" w:cstheme="minorBidi"/>
          <w:sz w:val="22"/>
          <w:szCs w:val="22"/>
          <w:lang w:val="es-ES_tradnl" w:eastAsia="en-US"/>
        </w:rPr>
        <w:t>Shortfall</w:t>
      </w:r>
      <w:proofErr w:type="spellEnd"/>
      <w:r w:rsidRPr="00105448">
        <w:rPr>
          <w:rFonts w:asciiTheme="minorHAnsi" w:eastAsiaTheme="minorHAnsi" w:hAnsiTheme="minorHAnsi" w:cstheme="minorBidi"/>
          <w:sz w:val="22"/>
          <w:szCs w:val="22"/>
          <w:lang w:val="es-ES_tradnl" w:eastAsia="en-US"/>
        </w:rPr>
        <w:t xml:space="preserve"> al 97,5%.</w:t>
      </w:r>
      <w:r>
        <w:rPr>
          <w:rFonts w:asciiTheme="minorHAnsi" w:eastAsiaTheme="minorHAnsi" w:hAnsiTheme="minorHAnsi" w:cstheme="minorBidi"/>
          <w:sz w:val="22"/>
          <w:szCs w:val="22"/>
          <w:lang w:val="es-ES_tradnl" w:eastAsia="en-US"/>
        </w:rPr>
        <w:t xml:space="preserve"> (</w:t>
      </w:r>
      <w:r w:rsidR="000B4A9F">
        <w:rPr>
          <w:rFonts w:asciiTheme="minorHAnsi" w:eastAsiaTheme="minorHAnsi" w:hAnsiTheme="minorHAnsi" w:cstheme="minorBidi"/>
          <w:sz w:val="22"/>
          <w:szCs w:val="22"/>
          <w:lang w:val="es-ES_tradnl" w:eastAsia="en-US"/>
        </w:rPr>
        <w:t>1</w:t>
      </w:r>
      <w:r>
        <w:rPr>
          <w:rFonts w:asciiTheme="minorHAnsi" w:eastAsiaTheme="minorHAnsi" w:hAnsiTheme="minorHAnsi" w:cstheme="minorBidi"/>
          <w:sz w:val="22"/>
          <w:szCs w:val="22"/>
          <w:lang w:val="es-ES_tradnl" w:eastAsia="en-US"/>
        </w:rPr>
        <w:t xml:space="preserve"> punto)</w:t>
      </w:r>
    </w:p>
    <w:p w14:paraId="2C21C686" w14:textId="47F3F967" w:rsidR="00944556" w:rsidRPr="00944556" w:rsidRDefault="00944556" w:rsidP="003A32FF">
      <w:pPr>
        <w:pStyle w:val="NormalWeb"/>
        <w:numPr>
          <w:ilvl w:val="0"/>
          <w:numId w:val="2"/>
        </w:numPr>
        <w:ind w:left="1134"/>
        <w:jc w:val="both"/>
        <w:rPr>
          <w:rFonts w:asciiTheme="minorHAnsi" w:eastAsiaTheme="minorHAnsi" w:hAnsiTheme="minorHAnsi" w:cstheme="minorBidi"/>
          <w:sz w:val="22"/>
          <w:szCs w:val="22"/>
          <w:lang w:val="es-ES_tradnl" w:eastAsia="en-US"/>
        </w:rPr>
      </w:pPr>
      <w:r w:rsidRPr="00944556">
        <w:rPr>
          <w:rFonts w:asciiTheme="minorHAnsi" w:eastAsiaTheme="minorHAnsi" w:hAnsiTheme="minorHAnsi" w:cstheme="minorBidi"/>
          <w:sz w:val="22"/>
          <w:szCs w:val="22"/>
          <w:lang w:val="es-ES_tradnl" w:eastAsia="en-US"/>
        </w:rPr>
        <w:t xml:space="preserve">Ordena los cuatro bancos de mayor a menor riesgo. Si el ranking cambia según uses volatilidad, VaR o </w:t>
      </w:r>
      <w:proofErr w:type="spellStart"/>
      <w:r w:rsidRPr="00944556">
        <w:rPr>
          <w:rFonts w:asciiTheme="minorHAnsi" w:eastAsiaTheme="minorHAnsi" w:hAnsiTheme="minorHAnsi" w:cstheme="minorBidi"/>
          <w:sz w:val="22"/>
          <w:szCs w:val="22"/>
          <w:lang w:val="es-ES_tradnl" w:eastAsia="en-US"/>
        </w:rPr>
        <w:t>Expected</w:t>
      </w:r>
      <w:proofErr w:type="spellEnd"/>
      <w:r w:rsidRPr="00944556">
        <w:rPr>
          <w:rFonts w:asciiTheme="minorHAnsi" w:eastAsiaTheme="minorHAnsi" w:hAnsiTheme="minorHAnsi" w:cstheme="minorBidi"/>
          <w:sz w:val="22"/>
          <w:szCs w:val="22"/>
          <w:lang w:val="es-ES_tradnl" w:eastAsia="en-US"/>
        </w:rPr>
        <w:t xml:space="preserve"> </w:t>
      </w:r>
      <w:proofErr w:type="spellStart"/>
      <w:r w:rsidRPr="00944556">
        <w:rPr>
          <w:rFonts w:asciiTheme="minorHAnsi" w:eastAsiaTheme="minorHAnsi" w:hAnsiTheme="minorHAnsi" w:cstheme="minorBidi"/>
          <w:sz w:val="22"/>
          <w:szCs w:val="22"/>
          <w:lang w:val="es-ES_tradnl" w:eastAsia="en-US"/>
        </w:rPr>
        <w:t>Shortfall</w:t>
      </w:r>
      <w:proofErr w:type="spellEnd"/>
      <w:r w:rsidRPr="00944556">
        <w:rPr>
          <w:rFonts w:asciiTheme="minorHAnsi" w:eastAsiaTheme="minorHAnsi" w:hAnsiTheme="minorHAnsi" w:cstheme="minorBidi"/>
          <w:sz w:val="22"/>
          <w:szCs w:val="22"/>
          <w:lang w:val="es-ES_tradnl" w:eastAsia="en-US"/>
        </w:rPr>
        <w:t>, explica qué te está diciendo cada métrica. ¿Cuál usarías para informar a un Comité de Riesgos y por qué?</w:t>
      </w:r>
      <w:r>
        <w:rPr>
          <w:rFonts w:asciiTheme="minorHAnsi" w:eastAsiaTheme="minorHAnsi" w:hAnsiTheme="minorHAnsi" w:cstheme="minorBidi"/>
          <w:sz w:val="22"/>
          <w:szCs w:val="22"/>
          <w:lang w:val="es-ES_tradnl" w:eastAsia="en-US"/>
        </w:rPr>
        <w:t xml:space="preserve"> (1 punto)</w:t>
      </w:r>
    </w:p>
    <w:p w14:paraId="3B1ECA19" w14:textId="77777777" w:rsidR="00BC01D6" w:rsidRDefault="00105448" w:rsidP="003A32FF">
      <w:pPr>
        <w:pStyle w:val="NormalWeb"/>
        <w:numPr>
          <w:ilvl w:val="0"/>
          <w:numId w:val="2"/>
        </w:numPr>
        <w:ind w:left="1134"/>
        <w:jc w:val="both"/>
        <w:rPr>
          <w:rFonts w:asciiTheme="minorHAnsi" w:eastAsiaTheme="minorHAnsi" w:hAnsiTheme="minorHAnsi" w:cstheme="minorBidi"/>
          <w:sz w:val="22"/>
          <w:szCs w:val="22"/>
          <w:lang w:val="es-ES_tradnl" w:eastAsia="en-US"/>
        </w:rPr>
      </w:pPr>
      <w:r w:rsidRPr="00105448">
        <w:rPr>
          <w:rFonts w:asciiTheme="minorHAnsi" w:eastAsiaTheme="minorHAnsi" w:hAnsiTheme="minorHAnsi" w:cstheme="minorBidi"/>
          <w:sz w:val="22"/>
          <w:szCs w:val="22"/>
          <w:lang w:val="es-ES_tradnl" w:eastAsia="en-US"/>
        </w:rPr>
        <w:t>Identifica si existe algún día de estrés común para las cuatro entidades. ¿Qué te sugiere desde el punto de vista de riesgo sistémico o correlación sectorial?</w:t>
      </w:r>
      <w:r>
        <w:rPr>
          <w:rFonts w:asciiTheme="minorHAnsi" w:eastAsiaTheme="minorHAnsi" w:hAnsiTheme="minorHAnsi" w:cstheme="minorBidi"/>
          <w:sz w:val="22"/>
          <w:szCs w:val="22"/>
          <w:lang w:val="es-ES_tradnl" w:eastAsia="en-US"/>
        </w:rPr>
        <w:t xml:space="preserve"> (1 punto)</w:t>
      </w:r>
    </w:p>
    <w:p w14:paraId="760D18C6" w14:textId="77777777" w:rsidR="00240564" w:rsidRDefault="00105448" w:rsidP="003A32FF">
      <w:pPr>
        <w:pStyle w:val="NormalWeb"/>
        <w:numPr>
          <w:ilvl w:val="0"/>
          <w:numId w:val="2"/>
        </w:numPr>
        <w:ind w:left="1134"/>
        <w:jc w:val="both"/>
        <w:rPr>
          <w:rFonts w:asciiTheme="minorHAnsi" w:eastAsiaTheme="minorHAnsi" w:hAnsiTheme="minorHAnsi" w:cstheme="minorBidi"/>
          <w:sz w:val="22"/>
          <w:szCs w:val="22"/>
          <w:lang w:val="es-ES_tradnl" w:eastAsia="en-US"/>
        </w:rPr>
      </w:pPr>
      <w:r w:rsidRPr="00BC01D6">
        <w:rPr>
          <w:rFonts w:asciiTheme="minorHAnsi" w:eastAsiaTheme="minorHAnsi" w:hAnsiTheme="minorHAnsi" w:cstheme="minorBidi"/>
          <w:sz w:val="22"/>
          <w:szCs w:val="22"/>
          <w:lang w:val="es-ES_tradnl" w:eastAsia="en-US"/>
        </w:rPr>
        <w:t>Supón que tienes una cartera equiponderada con los cuatro bancos. Calcula su rentabilidad diaria y compara su VaR con el promedio simple de los VaR individuales. ¿Hay diversificación?</w:t>
      </w:r>
      <w:r w:rsidR="00BC01D6">
        <w:rPr>
          <w:rFonts w:asciiTheme="minorHAnsi" w:eastAsiaTheme="minorHAnsi" w:hAnsiTheme="minorHAnsi" w:cstheme="minorBidi"/>
          <w:sz w:val="22"/>
          <w:szCs w:val="22"/>
          <w:lang w:val="es-ES_tradnl" w:eastAsia="en-US"/>
        </w:rPr>
        <w:t xml:space="preserve"> (1 punto)</w:t>
      </w:r>
    </w:p>
    <w:p w14:paraId="59070A3F" w14:textId="63DD3F66" w:rsidR="00240564" w:rsidRPr="00240564" w:rsidRDefault="00240564" w:rsidP="003A32FF">
      <w:pPr>
        <w:pStyle w:val="NormalWeb"/>
        <w:numPr>
          <w:ilvl w:val="0"/>
          <w:numId w:val="2"/>
        </w:numPr>
        <w:ind w:left="1134"/>
        <w:jc w:val="both"/>
        <w:rPr>
          <w:rFonts w:asciiTheme="minorHAnsi" w:eastAsiaTheme="minorHAnsi" w:hAnsiTheme="minorHAnsi" w:cstheme="minorBidi"/>
          <w:sz w:val="22"/>
          <w:szCs w:val="22"/>
          <w:lang w:val="es-ES_tradnl" w:eastAsia="en-US"/>
        </w:rPr>
      </w:pPr>
      <w:r w:rsidRPr="00240564">
        <w:rPr>
          <w:rFonts w:asciiTheme="minorHAnsi" w:eastAsiaTheme="minorHAnsi" w:hAnsiTheme="minorHAnsi" w:cstheme="minorBidi"/>
          <w:sz w:val="22"/>
          <w:szCs w:val="22"/>
          <w:lang w:val="es-ES_tradnl" w:eastAsia="en-US"/>
        </w:rPr>
        <w:t>Con la función COEF.DE.CORREL calcula la matriz de correlaciones entre las cuatro entidades bancarias. ¿Qué par tiene mayor correlación? ¿Qué implicación tiene para la diversificación? Añade una limitación de usar correlaciones históricas de un único año para estimar el riesgo futuro.</w:t>
      </w:r>
      <w:r>
        <w:rPr>
          <w:rFonts w:asciiTheme="minorHAnsi" w:eastAsiaTheme="minorHAnsi" w:hAnsiTheme="minorHAnsi" w:cstheme="minorBidi"/>
          <w:sz w:val="22"/>
          <w:szCs w:val="22"/>
          <w:lang w:val="es-ES_tradnl" w:eastAsia="en-US"/>
        </w:rPr>
        <w:t xml:space="preserve"> (1 punto)</w:t>
      </w:r>
    </w:p>
    <w:p w14:paraId="7DFDC11A" w14:textId="1A3081CA" w:rsidR="00BC01D6" w:rsidRDefault="00BC01D6" w:rsidP="003A32FF">
      <w:pPr>
        <w:pStyle w:val="Prrafodelista"/>
        <w:numPr>
          <w:ilvl w:val="0"/>
          <w:numId w:val="1"/>
        </w:numPr>
        <w:jc w:val="both"/>
        <w:rPr>
          <w:lang w:val="es-ES_tradnl"/>
        </w:rPr>
      </w:pPr>
      <w:r>
        <w:rPr>
          <w:lang w:val="es-ES_tradnl"/>
        </w:rPr>
        <w:t xml:space="preserve">Ejercicio 2 (Total </w:t>
      </w:r>
      <w:r w:rsidR="000B4A9F">
        <w:rPr>
          <w:lang w:val="es-ES_tradnl"/>
        </w:rPr>
        <w:t>4,5 puntos</w:t>
      </w:r>
      <w:r>
        <w:rPr>
          <w:lang w:val="es-ES_tradnl"/>
        </w:rPr>
        <w:t xml:space="preserve">): </w:t>
      </w:r>
    </w:p>
    <w:p w14:paraId="1049A8BE" w14:textId="426C7705" w:rsidR="00105448" w:rsidRPr="00BC01D6" w:rsidRDefault="00105448" w:rsidP="003A32FF">
      <w:pPr>
        <w:ind w:firstLine="708"/>
        <w:jc w:val="both"/>
        <w:rPr>
          <w:lang w:val="es-ES_tradnl"/>
        </w:rPr>
      </w:pPr>
      <w:r w:rsidRPr="00BC01D6">
        <w:rPr>
          <w:lang w:val="es-ES_tradnl"/>
        </w:rPr>
        <w:t>Un banco minorista español tiene el siguiente balance simplificado:</w:t>
      </w:r>
    </w:p>
    <w:p w14:paraId="74DB3BD7" w14:textId="77777777" w:rsidR="00105448" w:rsidRPr="00105448" w:rsidRDefault="00105448" w:rsidP="003A32FF">
      <w:pPr>
        <w:pStyle w:val="Prrafodelista"/>
        <w:numPr>
          <w:ilvl w:val="0"/>
          <w:numId w:val="3"/>
        </w:numPr>
        <w:jc w:val="both"/>
        <w:rPr>
          <w:lang w:val="es-ES_tradnl"/>
        </w:rPr>
      </w:pPr>
      <w:r w:rsidRPr="00105448">
        <w:rPr>
          <w:lang w:val="es-ES_tradnl"/>
        </w:rPr>
        <w:t xml:space="preserve">Hipotecas a tipo fijo y variable con opción de amortización anticipada. </w:t>
      </w:r>
    </w:p>
    <w:p w14:paraId="19939780" w14:textId="77777777" w:rsidR="00105448" w:rsidRPr="00105448" w:rsidRDefault="00105448" w:rsidP="003A32FF">
      <w:pPr>
        <w:pStyle w:val="Prrafodelista"/>
        <w:numPr>
          <w:ilvl w:val="0"/>
          <w:numId w:val="3"/>
        </w:numPr>
        <w:jc w:val="both"/>
        <w:rPr>
          <w:lang w:val="es-ES_tradnl"/>
        </w:rPr>
      </w:pPr>
      <w:r w:rsidRPr="00105448">
        <w:rPr>
          <w:lang w:val="es-ES_tradnl"/>
        </w:rPr>
        <w:t xml:space="preserve">Depósitos a la vista de clientes minoristas sin vencimiento contractual. </w:t>
      </w:r>
    </w:p>
    <w:p w14:paraId="4E27CEA9" w14:textId="77777777" w:rsidR="00105448" w:rsidRPr="00105448" w:rsidRDefault="00105448" w:rsidP="003A32FF">
      <w:pPr>
        <w:pStyle w:val="Prrafodelista"/>
        <w:numPr>
          <w:ilvl w:val="0"/>
          <w:numId w:val="3"/>
        </w:numPr>
        <w:jc w:val="both"/>
        <w:rPr>
          <w:lang w:val="es-ES_tradnl"/>
        </w:rPr>
      </w:pPr>
      <w:r w:rsidRPr="00105448">
        <w:rPr>
          <w:lang w:val="es-ES_tradnl"/>
        </w:rPr>
        <w:t xml:space="preserve">Depósitos de pymes y empresas con saldos volátiles. </w:t>
      </w:r>
    </w:p>
    <w:p w14:paraId="682FF5F8" w14:textId="77777777" w:rsidR="00105448" w:rsidRPr="00105448" w:rsidRDefault="00105448" w:rsidP="003A32FF">
      <w:pPr>
        <w:pStyle w:val="Prrafodelista"/>
        <w:numPr>
          <w:ilvl w:val="0"/>
          <w:numId w:val="3"/>
        </w:numPr>
        <w:jc w:val="both"/>
        <w:rPr>
          <w:lang w:val="es-ES_tradnl"/>
        </w:rPr>
      </w:pPr>
      <w:r w:rsidRPr="00105448">
        <w:rPr>
          <w:lang w:val="es-ES_tradnl"/>
        </w:rPr>
        <w:t xml:space="preserve">Una cartera de renta fija usada para estabilizar el margen financiero. </w:t>
      </w:r>
    </w:p>
    <w:p w14:paraId="12FC1D5D" w14:textId="77777777" w:rsidR="00105448" w:rsidRPr="00105448" w:rsidRDefault="00105448" w:rsidP="003A32FF">
      <w:pPr>
        <w:pStyle w:val="Prrafodelista"/>
        <w:numPr>
          <w:ilvl w:val="0"/>
          <w:numId w:val="3"/>
        </w:numPr>
        <w:jc w:val="both"/>
        <w:rPr>
          <w:lang w:val="es-ES_tradnl"/>
        </w:rPr>
      </w:pPr>
      <w:r w:rsidRPr="00105448">
        <w:rPr>
          <w:lang w:val="es-ES_tradnl"/>
        </w:rPr>
        <w:t xml:space="preserve">El área de Finanzas/ALM quiere mejorar la medición del riesgo de tipo de interés estructural y del riesgo de liquidez. </w:t>
      </w:r>
    </w:p>
    <w:p w14:paraId="6E22044C" w14:textId="77777777" w:rsidR="00BC01D6" w:rsidRDefault="00BC01D6" w:rsidP="003A32FF">
      <w:pPr>
        <w:pStyle w:val="Prrafodelista"/>
        <w:jc w:val="both"/>
        <w:rPr>
          <w:lang w:val="es-ES_tradnl"/>
        </w:rPr>
      </w:pPr>
    </w:p>
    <w:p w14:paraId="6CFF2C55" w14:textId="7A5D736D" w:rsidR="00105448" w:rsidRDefault="00105448" w:rsidP="003A32FF">
      <w:pPr>
        <w:pStyle w:val="Prrafodelista"/>
        <w:jc w:val="both"/>
        <w:rPr>
          <w:lang w:val="es-ES_tradnl"/>
        </w:rPr>
      </w:pPr>
      <w:r w:rsidRPr="00105448">
        <w:rPr>
          <w:lang w:val="es-ES_tradnl"/>
        </w:rPr>
        <w:t>El banco utiliza dos modelos internos:</w:t>
      </w:r>
    </w:p>
    <w:p w14:paraId="7A5298C0" w14:textId="77777777" w:rsidR="00BC01D6" w:rsidRPr="00105448" w:rsidRDefault="00BC01D6" w:rsidP="003A32FF">
      <w:pPr>
        <w:pStyle w:val="Prrafodelista"/>
        <w:jc w:val="both"/>
        <w:rPr>
          <w:lang w:val="es-ES_tradnl"/>
        </w:rPr>
      </w:pPr>
    </w:p>
    <w:p w14:paraId="1454B7E3" w14:textId="77777777" w:rsidR="00105448" w:rsidRPr="00105448" w:rsidRDefault="00105448" w:rsidP="003A32FF">
      <w:pPr>
        <w:pStyle w:val="Prrafodelista"/>
        <w:numPr>
          <w:ilvl w:val="0"/>
          <w:numId w:val="4"/>
        </w:numPr>
        <w:jc w:val="both"/>
        <w:rPr>
          <w:lang w:val="es-ES_tradnl"/>
        </w:rPr>
      </w:pPr>
      <w:r w:rsidRPr="00105448">
        <w:rPr>
          <w:lang w:val="es-ES_tradnl"/>
        </w:rPr>
        <w:t xml:space="preserve">Modelo de prepagos, para estimar cuándo los clientes amortizan anticipadamente sus préstamos. </w:t>
      </w:r>
    </w:p>
    <w:p w14:paraId="111F2E73" w14:textId="77777777" w:rsidR="00105448" w:rsidRPr="00105448" w:rsidRDefault="00105448" w:rsidP="003A32FF">
      <w:pPr>
        <w:pStyle w:val="Prrafodelista"/>
        <w:numPr>
          <w:ilvl w:val="0"/>
          <w:numId w:val="4"/>
        </w:numPr>
        <w:jc w:val="both"/>
        <w:rPr>
          <w:lang w:val="es-ES_tradnl"/>
        </w:rPr>
      </w:pPr>
      <w:r w:rsidRPr="00105448">
        <w:rPr>
          <w:lang w:val="es-ES_tradnl"/>
        </w:rPr>
        <w:t xml:space="preserve">Modelo de depósitos estables / NMD, para estimar qué parte de los depósitos sin vencimiento contractual se comporta como financiación estable y qué parte puede salir rápidamente. </w:t>
      </w:r>
    </w:p>
    <w:p w14:paraId="0CB59009" w14:textId="77777777" w:rsidR="00BC01D6" w:rsidRDefault="00BC01D6" w:rsidP="003A32FF">
      <w:pPr>
        <w:pStyle w:val="Prrafodelista"/>
        <w:jc w:val="both"/>
        <w:rPr>
          <w:lang w:val="es-ES_tradnl"/>
        </w:rPr>
      </w:pPr>
    </w:p>
    <w:p w14:paraId="7445A0FB" w14:textId="2EB9105D" w:rsidR="00105448" w:rsidRPr="00105448" w:rsidRDefault="00105448" w:rsidP="003A32FF">
      <w:pPr>
        <w:pStyle w:val="Prrafodelista"/>
        <w:jc w:val="both"/>
        <w:rPr>
          <w:lang w:val="es-ES_tradnl"/>
        </w:rPr>
      </w:pPr>
      <w:r w:rsidRPr="00105448">
        <w:rPr>
          <w:lang w:val="es-ES_tradnl"/>
        </w:rPr>
        <w:t xml:space="preserve">Además, el banco usa la métrica interna Loan </w:t>
      </w:r>
      <w:proofErr w:type="spellStart"/>
      <w:r w:rsidRPr="00105448">
        <w:rPr>
          <w:lang w:val="es-ES_tradnl"/>
        </w:rPr>
        <w:t>to</w:t>
      </w:r>
      <w:proofErr w:type="spellEnd"/>
      <w:r w:rsidRPr="00105448">
        <w:rPr>
          <w:lang w:val="es-ES_tradnl"/>
        </w:rPr>
        <w:t xml:space="preserve"> </w:t>
      </w:r>
      <w:proofErr w:type="spellStart"/>
      <w:r w:rsidRPr="00105448">
        <w:rPr>
          <w:lang w:val="es-ES_tradnl"/>
        </w:rPr>
        <w:t>Stable</w:t>
      </w:r>
      <w:proofErr w:type="spellEnd"/>
      <w:r w:rsidRPr="00105448">
        <w:rPr>
          <w:lang w:val="es-ES_tradnl"/>
        </w:rPr>
        <w:t xml:space="preserve"> </w:t>
      </w:r>
      <w:proofErr w:type="spellStart"/>
      <w:r w:rsidRPr="00105448">
        <w:rPr>
          <w:lang w:val="es-ES_tradnl"/>
        </w:rPr>
        <w:t>Customer</w:t>
      </w:r>
      <w:proofErr w:type="spellEnd"/>
      <w:r w:rsidRPr="00105448">
        <w:rPr>
          <w:lang w:val="es-ES_tradnl"/>
        </w:rPr>
        <w:t xml:space="preserve"> </w:t>
      </w:r>
      <w:proofErr w:type="spellStart"/>
      <w:r w:rsidRPr="00105448">
        <w:rPr>
          <w:lang w:val="es-ES_tradnl"/>
        </w:rPr>
        <w:t>Deposits</w:t>
      </w:r>
      <w:proofErr w:type="spellEnd"/>
      <w:r w:rsidRPr="00105448">
        <w:rPr>
          <w:lang w:val="es-ES_tradnl"/>
        </w:rPr>
        <w:t>, donde los préstamos a clientes se comparan con los depósitos estables de clientes.</w:t>
      </w:r>
    </w:p>
    <w:p w14:paraId="6E7621C5" w14:textId="77777777" w:rsidR="00BC01D6" w:rsidRDefault="00BC01D6" w:rsidP="003A32FF">
      <w:pPr>
        <w:pStyle w:val="Prrafodelista"/>
        <w:jc w:val="both"/>
        <w:rPr>
          <w:lang w:val="es-ES_tradnl"/>
        </w:rPr>
      </w:pPr>
    </w:p>
    <w:p w14:paraId="2E3DA7A8" w14:textId="4425CE86" w:rsidR="00105448" w:rsidRPr="00105448" w:rsidRDefault="00BC01D6" w:rsidP="003A32FF">
      <w:pPr>
        <w:pStyle w:val="Prrafodelista"/>
        <w:jc w:val="both"/>
        <w:rPr>
          <w:lang w:val="es-ES_tradnl"/>
        </w:rPr>
      </w:pPr>
      <w:r>
        <w:rPr>
          <w:lang w:val="es-ES_tradnl"/>
        </w:rPr>
        <w:t>Con base en ello</w:t>
      </w:r>
      <w:r w:rsidR="00105448" w:rsidRPr="00105448">
        <w:rPr>
          <w:lang w:val="es-ES_tradnl"/>
        </w:rPr>
        <w:t>:</w:t>
      </w:r>
    </w:p>
    <w:p w14:paraId="048CACE5" w14:textId="77777777" w:rsidR="00BC01D6" w:rsidRDefault="00105448" w:rsidP="003A32FF">
      <w:pPr>
        <w:pStyle w:val="Prrafodelista"/>
        <w:numPr>
          <w:ilvl w:val="0"/>
          <w:numId w:val="6"/>
        </w:numPr>
        <w:jc w:val="both"/>
        <w:rPr>
          <w:lang w:val="es-ES_tradnl"/>
        </w:rPr>
      </w:pPr>
      <w:r w:rsidRPr="00105448">
        <w:rPr>
          <w:lang w:val="es-ES_tradnl"/>
        </w:rPr>
        <w:t>Explica qué variables deberían utilizarse para modelizar los prepagos de hipotecas. Distingue entre variables de cliente, producto y mercado.</w:t>
      </w:r>
    </w:p>
    <w:p w14:paraId="775F1430" w14:textId="77777777" w:rsidR="00BC01D6" w:rsidRDefault="00105448" w:rsidP="003A32FF">
      <w:pPr>
        <w:pStyle w:val="Prrafodelista"/>
        <w:numPr>
          <w:ilvl w:val="0"/>
          <w:numId w:val="6"/>
        </w:numPr>
        <w:jc w:val="both"/>
        <w:rPr>
          <w:lang w:val="es-ES_tradnl"/>
        </w:rPr>
      </w:pPr>
      <w:r w:rsidRPr="00BC01D6">
        <w:rPr>
          <w:lang w:val="es-ES_tradnl"/>
        </w:rPr>
        <w:t>Explica cómo estimarías la parte estable de los non-</w:t>
      </w:r>
      <w:proofErr w:type="spellStart"/>
      <w:r w:rsidRPr="00BC01D6">
        <w:rPr>
          <w:lang w:val="es-ES_tradnl"/>
        </w:rPr>
        <w:t>maturity</w:t>
      </w:r>
      <w:proofErr w:type="spellEnd"/>
      <w:r w:rsidRPr="00BC01D6">
        <w:rPr>
          <w:lang w:val="es-ES_tradnl"/>
        </w:rPr>
        <w:t xml:space="preserve"> </w:t>
      </w:r>
      <w:proofErr w:type="spellStart"/>
      <w:r w:rsidRPr="00BC01D6">
        <w:rPr>
          <w:lang w:val="es-ES_tradnl"/>
        </w:rPr>
        <w:t>deposits</w:t>
      </w:r>
      <w:proofErr w:type="spellEnd"/>
      <w:r w:rsidRPr="00BC01D6">
        <w:rPr>
          <w:lang w:val="es-ES_tradnl"/>
        </w:rPr>
        <w:t>. ¿Qué evidencias históricas usarías y qué ajustes forward-</w:t>
      </w:r>
      <w:proofErr w:type="spellStart"/>
      <w:r w:rsidRPr="00BC01D6">
        <w:rPr>
          <w:lang w:val="es-ES_tradnl"/>
        </w:rPr>
        <w:t>looking</w:t>
      </w:r>
      <w:proofErr w:type="spellEnd"/>
      <w:r w:rsidRPr="00BC01D6">
        <w:rPr>
          <w:lang w:val="es-ES_tradnl"/>
        </w:rPr>
        <w:t xml:space="preserve"> introducirías?</w:t>
      </w:r>
    </w:p>
    <w:p w14:paraId="07B8A096" w14:textId="77777777" w:rsidR="003A32FF" w:rsidRDefault="00105448" w:rsidP="003A32FF">
      <w:pPr>
        <w:pStyle w:val="Prrafodelista"/>
        <w:numPr>
          <w:ilvl w:val="0"/>
          <w:numId w:val="6"/>
        </w:numPr>
        <w:jc w:val="both"/>
        <w:rPr>
          <w:lang w:val="es-ES_tradnl"/>
        </w:rPr>
      </w:pPr>
      <w:r w:rsidRPr="00BC01D6">
        <w:rPr>
          <w:lang w:val="es-ES_tradnl"/>
        </w:rPr>
        <w:t>¿Por qué la modelización de los NMD es crítica tanto para el IRRBB como para la liquidez? Razona separando impacto en margen financiero, valor económico y métricas de financiación estable.</w:t>
      </w:r>
    </w:p>
    <w:p w14:paraId="5EE718B7" w14:textId="21494F4B" w:rsidR="00105448" w:rsidRPr="003A32FF" w:rsidRDefault="003A32FF" w:rsidP="003A32FF">
      <w:pPr>
        <w:pStyle w:val="Prrafodelista"/>
        <w:numPr>
          <w:ilvl w:val="0"/>
          <w:numId w:val="6"/>
        </w:numPr>
        <w:jc w:val="both"/>
        <w:rPr>
          <w:lang w:val="es-ES_tradnl"/>
        </w:rPr>
      </w:pPr>
      <w:r>
        <w:rPr>
          <w:lang w:val="es-ES_tradnl"/>
        </w:rPr>
        <w:t>En relación con la siguiente afirmación</w:t>
      </w:r>
      <w:r w:rsidR="00105448" w:rsidRPr="003A32FF">
        <w:rPr>
          <w:lang w:val="es-ES_tradnl"/>
        </w:rPr>
        <w:t>:</w:t>
      </w:r>
    </w:p>
    <w:p w14:paraId="62AC0A28" w14:textId="77777777" w:rsidR="00105448" w:rsidRDefault="00105448" w:rsidP="003A32FF">
      <w:pPr>
        <w:pStyle w:val="Prrafodelista"/>
        <w:ind w:left="1134"/>
        <w:jc w:val="both"/>
        <w:rPr>
          <w:lang w:val="es-ES_tradnl"/>
        </w:rPr>
      </w:pPr>
      <w:r w:rsidRPr="00105448">
        <w:rPr>
          <w:lang w:val="es-ES_tradnl"/>
        </w:rPr>
        <w:lastRenderedPageBreak/>
        <w:t>“Si un depósito se considera estable para liquidez, debe tratarse automáticamente como estable y de largo plazo en IRRBB.”</w:t>
      </w:r>
    </w:p>
    <w:p w14:paraId="378A11C5" w14:textId="77777777" w:rsidR="003A32FF" w:rsidRPr="00105448" w:rsidRDefault="003A32FF" w:rsidP="003A32FF">
      <w:pPr>
        <w:pStyle w:val="Prrafodelista"/>
        <w:ind w:left="1134"/>
        <w:jc w:val="both"/>
        <w:rPr>
          <w:lang w:val="es-ES_tradnl"/>
        </w:rPr>
      </w:pPr>
    </w:p>
    <w:p w14:paraId="7D0E8D06" w14:textId="77777777" w:rsidR="00105448" w:rsidRPr="00105448" w:rsidRDefault="00105448" w:rsidP="003A32FF">
      <w:pPr>
        <w:pStyle w:val="Prrafodelista"/>
        <w:ind w:left="1134"/>
        <w:jc w:val="both"/>
        <w:rPr>
          <w:lang w:val="es-ES_tradnl"/>
        </w:rPr>
      </w:pPr>
      <w:r w:rsidRPr="00105448">
        <w:rPr>
          <w:lang w:val="es-ES_tradnl"/>
        </w:rPr>
        <w:t>Indica si estás de acuerdo o no. Identifica al menos tres matices o riesgos de usar exactamente la misma hipótesis en ambos modelos.</w:t>
      </w:r>
    </w:p>
    <w:p w14:paraId="0C8BE49F" w14:textId="77777777" w:rsidR="00F737B1" w:rsidRPr="00105448" w:rsidRDefault="00F737B1" w:rsidP="003A6ABB">
      <w:pPr>
        <w:pStyle w:val="Prrafodelista"/>
        <w:rPr>
          <w:lang w:val="es-ES_tradnl"/>
        </w:rPr>
      </w:pPr>
    </w:p>
    <w:sectPr w:rsidR="00F737B1" w:rsidRPr="00105448" w:rsidSect="00E476B3">
      <w:pgSz w:w="11906" w:h="16838" w:code="9"/>
      <w:pgMar w:top="1135" w:right="184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E44693"/>
    <w:multiLevelType w:val="multilevel"/>
    <w:tmpl w:val="9620E208"/>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 w15:restartNumberingAfterBreak="0">
    <w:nsid w:val="1E247806"/>
    <w:multiLevelType w:val="hybridMultilevel"/>
    <w:tmpl w:val="8C16C0CA"/>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31FE2754"/>
    <w:multiLevelType w:val="hybridMultilevel"/>
    <w:tmpl w:val="B02AB7EC"/>
    <w:lvl w:ilvl="0" w:tplc="6CB4D01A">
      <w:start w:val="1"/>
      <w:numFmt w:val="lowerLetter"/>
      <w:lvlText w:val="%1."/>
      <w:lvlJc w:val="left"/>
      <w:pPr>
        <w:ind w:left="1440" w:hanging="360"/>
      </w:pPr>
      <w:rPr>
        <w:rFonts w:asciiTheme="minorHAnsi" w:eastAsiaTheme="minorHAnsi" w:hAnsiTheme="minorHAnsi" w:cstheme="minorBidi"/>
      </w:rPr>
    </w:lvl>
    <w:lvl w:ilvl="1" w:tplc="0C0A0003">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 w15:restartNumberingAfterBreak="0">
    <w:nsid w:val="476E0140"/>
    <w:multiLevelType w:val="multilevel"/>
    <w:tmpl w:val="2E50FA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581C7BA1"/>
    <w:multiLevelType w:val="hybridMultilevel"/>
    <w:tmpl w:val="D6DAFA0E"/>
    <w:lvl w:ilvl="0" w:tplc="17A8FFDA">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5" w15:restartNumberingAfterBreak="0">
    <w:nsid w:val="70C74138"/>
    <w:multiLevelType w:val="hybridMultilevel"/>
    <w:tmpl w:val="DB642012"/>
    <w:lvl w:ilvl="0" w:tplc="5AC6CDE2">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num w:numId="1" w16cid:durableId="1750158244">
    <w:abstractNumId w:val="1"/>
  </w:num>
  <w:num w:numId="2" w16cid:durableId="1924215849">
    <w:abstractNumId w:val="2"/>
  </w:num>
  <w:num w:numId="3" w16cid:durableId="221605608">
    <w:abstractNumId w:val="3"/>
  </w:num>
  <w:num w:numId="4" w16cid:durableId="40791423">
    <w:abstractNumId w:val="0"/>
  </w:num>
  <w:num w:numId="5" w16cid:durableId="1314291627">
    <w:abstractNumId w:val="4"/>
  </w:num>
  <w:num w:numId="6" w16cid:durableId="9491186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DA5"/>
    <w:rsid w:val="00026AE3"/>
    <w:rsid w:val="00093C8C"/>
    <w:rsid w:val="000B4A9F"/>
    <w:rsid w:val="00105448"/>
    <w:rsid w:val="00240564"/>
    <w:rsid w:val="00321645"/>
    <w:rsid w:val="003A32FF"/>
    <w:rsid w:val="003A6ABB"/>
    <w:rsid w:val="003F5DA5"/>
    <w:rsid w:val="005A2FB0"/>
    <w:rsid w:val="00612585"/>
    <w:rsid w:val="00666F8C"/>
    <w:rsid w:val="00873138"/>
    <w:rsid w:val="00944556"/>
    <w:rsid w:val="00BC01D6"/>
    <w:rsid w:val="00C02E33"/>
    <w:rsid w:val="00C62791"/>
    <w:rsid w:val="00D64F34"/>
    <w:rsid w:val="00E476B3"/>
    <w:rsid w:val="00F737B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A433F"/>
  <w15:chartTrackingRefBased/>
  <w15:docId w15:val="{E77D2A32-D7ED-45CA-AAF0-F6756DD8A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F5DA5"/>
    <w:pPr>
      <w:ind w:left="720"/>
      <w:contextualSpacing/>
    </w:pPr>
  </w:style>
  <w:style w:type="paragraph" w:styleId="NormalWeb">
    <w:name w:val="Normal (Web)"/>
    <w:basedOn w:val="Normal"/>
    <w:uiPriority w:val="99"/>
    <w:unhideWhenUsed/>
    <w:rsid w:val="00105448"/>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1054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994201">
      <w:bodyDiv w:val="1"/>
      <w:marLeft w:val="0"/>
      <w:marRight w:val="0"/>
      <w:marTop w:val="0"/>
      <w:marBottom w:val="0"/>
      <w:divBdr>
        <w:top w:val="none" w:sz="0" w:space="0" w:color="auto"/>
        <w:left w:val="none" w:sz="0" w:space="0" w:color="auto"/>
        <w:bottom w:val="none" w:sz="0" w:space="0" w:color="auto"/>
        <w:right w:val="none" w:sz="0" w:space="0" w:color="auto"/>
      </w:divBdr>
      <w:divsChild>
        <w:div w:id="1122770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853247">
      <w:bodyDiv w:val="1"/>
      <w:marLeft w:val="0"/>
      <w:marRight w:val="0"/>
      <w:marTop w:val="0"/>
      <w:marBottom w:val="0"/>
      <w:divBdr>
        <w:top w:val="none" w:sz="0" w:space="0" w:color="auto"/>
        <w:left w:val="none" w:sz="0" w:space="0" w:color="auto"/>
        <w:bottom w:val="none" w:sz="0" w:space="0" w:color="auto"/>
        <w:right w:val="none" w:sz="0" w:space="0" w:color="auto"/>
      </w:divBdr>
      <w:divsChild>
        <w:div w:id="1036077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7440855">
      <w:bodyDiv w:val="1"/>
      <w:marLeft w:val="0"/>
      <w:marRight w:val="0"/>
      <w:marTop w:val="0"/>
      <w:marBottom w:val="0"/>
      <w:divBdr>
        <w:top w:val="none" w:sz="0" w:space="0" w:color="auto"/>
        <w:left w:val="none" w:sz="0" w:space="0" w:color="auto"/>
        <w:bottom w:val="none" w:sz="0" w:space="0" w:color="auto"/>
        <w:right w:val="none" w:sz="0" w:space="0" w:color="auto"/>
      </w:divBdr>
      <w:divsChild>
        <w:div w:id="772824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8087585">
      <w:bodyDiv w:val="1"/>
      <w:marLeft w:val="0"/>
      <w:marRight w:val="0"/>
      <w:marTop w:val="0"/>
      <w:marBottom w:val="0"/>
      <w:divBdr>
        <w:top w:val="none" w:sz="0" w:space="0" w:color="auto"/>
        <w:left w:val="none" w:sz="0" w:space="0" w:color="auto"/>
        <w:bottom w:val="none" w:sz="0" w:space="0" w:color="auto"/>
        <w:right w:val="none" w:sz="0" w:space="0" w:color="auto"/>
      </w:divBdr>
      <w:divsChild>
        <w:div w:id="8131355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4017561">
      <w:bodyDiv w:val="1"/>
      <w:marLeft w:val="0"/>
      <w:marRight w:val="0"/>
      <w:marTop w:val="0"/>
      <w:marBottom w:val="0"/>
      <w:divBdr>
        <w:top w:val="none" w:sz="0" w:space="0" w:color="auto"/>
        <w:left w:val="none" w:sz="0" w:space="0" w:color="auto"/>
        <w:bottom w:val="none" w:sz="0" w:space="0" w:color="auto"/>
        <w:right w:val="none" w:sz="0" w:space="0" w:color="auto"/>
      </w:divBdr>
      <w:divsChild>
        <w:div w:id="949626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5023662">
      <w:bodyDiv w:val="1"/>
      <w:marLeft w:val="0"/>
      <w:marRight w:val="0"/>
      <w:marTop w:val="0"/>
      <w:marBottom w:val="0"/>
      <w:divBdr>
        <w:top w:val="none" w:sz="0" w:space="0" w:color="auto"/>
        <w:left w:val="none" w:sz="0" w:space="0" w:color="auto"/>
        <w:bottom w:val="none" w:sz="0" w:space="0" w:color="auto"/>
        <w:right w:val="none" w:sz="0" w:space="0" w:color="auto"/>
      </w:divBdr>
    </w:div>
    <w:div w:id="907495645">
      <w:bodyDiv w:val="1"/>
      <w:marLeft w:val="0"/>
      <w:marRight w:val="0"/>
      <w:marTop w:val="0"/>
      <w:marBottom w:val="0"/>
      <w:divBdr>
        <w:top w:val="none" w:sz="0" w:space="0" w:color="auto"/>
        <w:left w:val="none" w:sz="0" w:space="0" w:color="auto"/>
        <w:bottom w:val="none" w:sz="0" w:space="0" w:color="auto"/>
        <w:right w:val="none" w:sz="0" w:space="0" w:color="auto"/>
      </w:divBdr>
      <w:divsChild>
        <w:div w:id="1935238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7876257">
      <w:bodyDiv w:val="1"/>
      <w:marLeft w:val="0"/>
      <w:marRight w:val="0"/>
      <w:marTop w:val="0"/>
      <w:marBottom w:val="0"/>
      <w:divBdr>
        <w:top w:val="none" w:sz="0" w:space="0" w:color="auto"/>
        <w:left w:val="none" w:sz="0" w:space="0" w:color="auto"/>
        <w:bottom w:val="none" w:sz="0" w:space="0" w:color="auto"/>
        <w:right w:val="none" w:sz="0" w:space="0" w:color="auto"/>
      </w:divBdr>
      <w:divsChild>
        <w:div w:id="1913543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0471795">
      <w:bodyDiv w:val="1"/>
      <w:marLeft w:val="0"/>
      <w:marRight w:val="0"/>
      <w:marTop w:val="0"/>
      <w:marBottom w:val="0"/>
      <w:divBdr>
        <w:top w:val="none" w:sz="0" w:space="0" w:color="auto"/>
        <w:left w:val="none" w:sz="0" w:space="0" w:color="auto"/>
        <w:bottom w:val="none" w:sz="0" w:space="0" w:color="auto"/>
        <w:right w:val="none" w:sz="0" w:space="0" w:color="auto"/>
      </w:divBdr>
      <w:divsChild>
        <w:div w:id="16289667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Pages>
  <Words>456</Words>
  <Characters>2513</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BBVA</Company>
  <LinksUpToDate>false</LinksUpToDate>
  <CharactersWithSpaces>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MOLL RAMIS ,ANTONIO JOSE</dc:creator>
  <cp:keywords/>
  <dc:description/>
  <cp:lastModifiedBy>MOLL RAMIS ,ANTONIO JOSE</cp:lastModifiedBy>
  <cp:revision>12</cp:revision>
  <dcterms:created xsi:type="dcterms:W3CDTF">2025-05-26T16:13:00Z</dcterms:created>
  <dcterms:modified xsi:type="dcterms:W3CDTF">2026-05-19T21:38:00Z</dcterms:modified>
</cp:coreProperties>
</file>