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F1DF5" w14:textId="2E1B3843" w:rsidR="00F503B8" w:rsidRDefault="00F503B8" w:rsidP="00F503B8">
      <w:pPr>
        <w:jc w:val="center"/>
        <w:rPr>
          <w:b/>
          <w:bCs/>
          <w:color w:val="FF0000"/>
          <w:sz w:val="36"/>
          <w:szCs w:val="36"/>
        </w:rPr>
      </w:pPr>
      <w:r w:rsidRPr="00F503B8">
        <w:rPr>
          <w:b/>
          <w:bCs/>
          <w:color w:val="FF0000"/>
          <w:sz w:val="36"/>
          <w:szCs w:val="36"/>
        </w:rPr>
        <w:t>Analyse discriminant linéaire</w:t>
      </w:r>
    </w:p>
    <w:p w14:paraId="654A22C7" w14:textId="68250E39" w:rsidR="00F503B8" w:rsidRDefault="00F503B8" w:rsidP="00F503B8">
      <w:pPr>
        <w:jc w:val="center"/>
        <w:rPr>
          <w:b/>
          <w:bCs/>
          <w:color w:val="FF0000"/>
          <w:sz w:val="36"/>
          <w:szCs w:val="36"/>
        </w:rPr>
      </w:pPr>
    </w:p>
    <w:p w14:paraId="709F8A0E" w14:textId="434946F6" w:rsidR="00F503B8" w:rsidRDefault="00223EA9" w:rsidP="00223EA9">
      <w:r>
        <w:t>Nous travaillerons sur le fichier WINE_QUALITY.XLS. Il recense 34 crus du bordelais répartis en 3 groupes « bon », « moyen », « médiocre » ; les descripteurs correspondent à des variables météorologiques (somme des températures journalières, jours d’ensoleillement, jours de chaleur, pluie).</w:t>
      </w:r>
    </w:p>
    <w:p w14:paraId="6D34176B" w14:textId="7D1E7811" w:rsidR="00AD53FC" w:rsidRDefault="00AD53FC" w:rsidP="00223EA9">
      <w:pPr>
        <w:rPr>
          <w:sz w:val="23"/>
          <w:szCs w:val="23"/>
        </w:rPr>
      </w:pPr>
      <w:r>
        <w:rPr>
          <w:sz w:val="23"/>
          <w:szCs w:val="23"/>
        </w:rPr>
        <w:t>Nous calculons la distribution relative des classes, qui sont assez équilibrées.</w:t>
      </w:r>
    </w:p>
    <w:p w14:paraId="14F120DC" w14:textId="2D4692C3" w:rsidR="00AD53FC" w:rsidRDefault="00AD53FC" w:rsidP="00223EA9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CFE6BF0" wp14:editId="677F95BA">
            <wp:extent cx="20478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4E6E" w14:textId="7566F663" w:rsidR="00171FD6" w:rsidRDefault="00171FD6" w:rsidP="00171FD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La matrice est de dimension (3, </w:t>
      </w:r>
      <w:r>
        <w:rPr>
          <w:rFonts w:ascii="ArialMT" w:hAnsi="ArialMT" w:cs="ArialMT"/>
          <w:sz w:val="23"/>
          <w:szCs w:val="23"/>
        </w:rPr>
        <w:t>4</w:t>
      </w:r>
      <w:r>
        <w:rPr>
          <w:rFonts w:ascii="ArialMT" w:hAnsi="ArialMT" w:cs="ArialMT"/>
          <w:sz w:val="23"/>
          <w:szCs w:val="23"/>
        </w:rPr>
        <w:t>) puisque nous avons un problème à (K = 3) classes (le</w:t>
      </w:r>
    </w:p>
    <w:p w14:paraId="07791809" w14:textId="3DC342B1" w:rsidR="00171FD6" w:rsidRDefault="00171FD6" w:rsidP="00171FD6">
      <w:pPr>
        <w:rPr>
          <w:b/>
          <w:bCs/>
          <w:color w:val="FF0000"/>
          <w:sz w:val="36"/>
          <w:szCs w:val="36"/>
        </w:rPr>
      </w:pPr>
      <w:proofErr w:type="gramStart"/>
      <w:r>
        <w:rPr>
          <w:rFonts w:ascii="ArialMT" w:hAnsi="ArialMT" w:cs="ArialMT"/>
          <w:sz w:val="23"/>
          <w:szCs w:val="23"/>
        </w:rPr>
        <w:t>nombre</w:t>
      </w:r>
      <w:proofErr w:type="gramEnd"/>
      <w:r>
        <w:rPr>
          <w:rFonts w:ascii="ArialMT" w:hAnsi="ArialMT" w:cs="ArialMT"/>
          <w:sz w:val="23"/>
          <w:szCs w:val="23"/>
        </w:rPr>
        <w:t xml:space="preserve"> de modalités de la variable cible</w:t>
      </w:r>
      <w:r>
        <w:rPr>
          <w:rFonts w:ascii="ArialMT" w:hAnsi="ArialMT" w:cs="ArialMT"/>
          <w:sz w:val="23"/>
          <w:szCs w:val="23"/>
        </w:rPr>
        <w:t xml:space="preserve"> </w:t>
      </w:r>
      <w:proofErr w:type="spellStart"/>
      <w:r>
        <w:rPr>
          <w:rFonts w:ascii="ArialMT" w:hAnsi="ArialMT" w:cs="ArialMT"/>
          <w:sz w:val="23"/>
          <w:szCs w:val="23"/>
        </w:rPr>
        <w:t>Quality</w:t>
      </w:r>
      <w:proofErr w:type="spellEnd"/>
      <w:r>
        <w:rPr>
          <w:rFonts w:ascii="ArialMT" w:hAnsi="ArialMT" w:cs="ArialMT"/>
          <w:sz w:val="23"/>
          <w:szCs w:val="23"/>
        </w:rPr>
        <w:t xml:space="preserve">) et </w:t>
      </w:r>
      <w:r>
        <w:rPr>
          <w:rFonts w:ascii="ArialMT" w:hAnsi="ArialMT" w:cs="ArialMT"/>
          <w:sz w:val="23"/>
          <w:szCs w:val="23"/>
        </w:rPr>
        <w:t>4</w:t>
      </w:r>
      <w:r>
        <w:rPr>
          <w:rFonts w:ascii="ArialMT" w:hAnsi="ArialMT" w:cs="ArialMT"/>
          <w:sz w:val="23"/>
          <w:szCs w:val="23"/>
        </w:rPr>
        <w:t xml:space="preserve"> descripteurs.</w:t>
      </w:r>
    </w:p>
    <w:p w14:paraId="0526CC0C" w14:textId="0EA75454" w:rsidR="0054153E" w:rsidRDefault="004401F6" w:rsidP="00223EA9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DF42380" wp14:editId="0A02B11B">
            <wp:extent cx="37338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7EA2" w14:textId="77777777" w:rsidR="00C83A8E" w:rsidRDefault="00C83A8E" w:rsidP="00C83A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Nous pouvons dès lors adopter une présentation plus sympathique des fonctions de</w:t>
      </w:r>
    </w:p>
    <w:p w14:paraId="150408F0" w14:textId="77777777" w:rsidR="00C83A8E" w:rsidRDefault="00C83A8E" w:rsidP="00C83A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3"/>
          <w:szCs w:val="23"/>
        </w:rPr>
      </w:pPr>
      <w:proofErr w:type="gramStart"/>
      <w:r>
        <w:rPr>
          <w:rFonts w:ascii="ArialMT" w:hAnsi="ArialMT" w:cs="ArialMT"/>
          <w:sz w:val="23"/>
          <w:szCs w:val="23"/>
        </w:rPr>
        <w:t>classement</w:t>
      </w:r>
      <w:proofErr w:type="gramEnd"/>
      <w:r>
        <w:rPr>
          <w:rFonts w:ascii="ArialMT" w:hAnsi="ArialMT" w:cs="ArialMT"/>
          <w:sz w:val="23"/>
          <w:szCs w:val="23"/>
        </w:rPr>
        <w:t xml:space="preserve"> en y associant les noms des variables explicatives et des modalités de</w:t>
      </w:r>
    </w:p>
    <w:p w14:paraId="445ACA65" w14:textId="6EA89FFD" w:rsidR="00C83A8E" w:rsidRDefault="00C83A8E" w:rsidP="00C83A8E">
      <w:pPr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QUALITY</w:t>
      </w:r>
      <w:r>
        <w:rPr>
          <w:rFonts w:ascii="ArialMT" w:hAnsi="ArialMT" w:cs="ArialMT"/>
          <w:sz w:val="23"/>
          <w:szCs w:val="23"/>
        </w:rPr>
        <w:t>.</w:t>
      </w:r>
    </w:p>
    <w:p w14:paraId="560EAD1D" w14:textId="5290603D" w:rsidR="00E879E1" w:rsidRDefault="00E879E1" w:rsidP="00C83A8E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C7513EA" wp14:editId="0289A259">
            <wp:extent cx="32289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F66E" w14:textId="17B7B3B4" w:rsidR="00AC3F03" w:rsidRDefault="00AC3F03" w:rsidP="00C83A8E">
      <w:pPr>
        <w:rPr>
          <w:sz w:val="23"/>
          <w:szCs w:val="23"/>
        </w:rPr>
      </w:pPr>
      <w:r>
        <w:rPr>
          <w:sz w:val="23"/>
          <w:szCs w:val="23"/>
        </w:rPr>
        <w:t>Il ne faut pas oublier les constantes (intercept) des fonctions linéaires.</w:t>
      </w:r>
    </w:p>
    <w:p w14:paraId="7D75CEFD" w14:textId="3FF99CA1" w:rsidR="00AC3F03" w:rsidRDefault="00DB4E72" w:rsidP="00C83A8E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5FAB430" wp14:editId="5DDF7E43">
            <wp:extent cx="3267075" cy="30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22C2" w14:textId="707E1B07" w:rsidR="00AC3F03" w:rsidRDefault="00DB4E72" w:rsidP="00C83A8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Evaluer le modèle global</w:t>
      </w:r>
    </w:p>
    <w:p w14:paraId="30DFDF45" w14:textId="2DC5322A" w:rsidR="00DB4E72" w:rsidRPr="00DB4E72" w:rsidRDefault="00DB4E72" w:rsidP="00C83A8E">
      <w:pPr>
        <w:rPr>
          <w:rFonts w:ascii="ArialMT" w:hAnsi="ArialMT" w:cs="ArialMT"/>
          <w:b/>
          <w:bCs/>
          <w:sz w:val="25"/>
          <w:szCs w:val="25"/>
        </w:rPr>
      </w:pPr>
      <w:r w:rsidRPr="00DB4E72">
        <w:rPr>
          <w:rFonts w:ascii="ArialMT" w:hAnsi="ArialMT" w:cs="ArialMT"/>
          <w:b/>
          <w:bCs/>
          <w:sz w:val="25"/>
          <w:szCs w:val="25"/>
        </w:rPr>
        <w:t xml:space="preserve">Calcul de matrice </w:t>
      </w:r>
      <w:r w:rsidRPr="00DB4E72">
        <w:rPr>
          <w:rFonts w:ascii="ArialMT" w:hAnsi="ArialMT" w:cs="ArialMT"/>
          <w:b/>
          <w:bCs/>
          <w:sz w:val="25"/>
          <w:szCs w:val="25"/>
        </w:rPr>
        <w:t xml:space="preserve">de covariance </w:t>
      </w:r>
      <w:proofErr w:type="spellStart"/>
      <w:r w:rsidRPr="00DB4E72">
        <w:rPr>
          <w:rFonts w:ascii="ArialMT" w:hAnsi="ArialMT" w:cs="ArialMT"/>
          <w:b/>
          <w:bCs/>
          <w:sz w:val="25"/>
          <w:szCs w:val="25"/>
        </w:rPr>
        <w:t>intra</w:t>
      </w:r>
      <w:r w:rsidRPr="00DB4E72">
        <w:rPr>
          <w:rFonts w:ascii="Cambria Math" w:hAnsi="Cambria Math" w:cs="Cambria Math"/>
          <w:b/>
          <w:bCs/>
          <w:sz w:val="24"/>
          <w:szCs w:val="24"/>
        </w:rPr>
        <w:t>‐</w:t>
      </w:r>
      <w:r w:rsidRPr="00DB4E72">
        <w:rPr>
          <w:rFonts w:ascii="ArialMT" w:hAnsi="ArialMT" w:cs="ArialMT"/>
          <w:b/>
          <w:bCs/>
          <w:sz w:val="25"/>
          <w:szCs w:val="25"/>
        </w:rPr>
        <w:t>classe</w:t>
      </w:r>
      <w:proofErr w:type="spellEnd"/>
    </w:p>
    <w:p w14:paraId="3EC5045D" w14:textId="62D8C7B4" w:rsidR="00DB4E72" w:rsidRDefault="00806832" w:rsidP="00C83A8E">
      <w:pPr>
        <w:rPr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1722A85" wp14:editId="03D5F9E6">
            <wp:extent cx="317182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9B05" w14:textId="77777777" w:rsidR="0065547B" w:rsidRDefault="0065547B" w:rsidP="00C83A8E">
      <w:pPr>
        <w:rPr>
          <w:rFonts w:ascii="ArialMT" w:hAnsi="ArialMT" w:cs="ArialMT"/>
          <w:b/>
          <w:bCs/>
          <w:sz w:val="25"/>
          <w:szCs w:val="25"/>
        </w:rPr>
      </w:pPr>
    </w:p>
    <w:p w14:paraId="7DA9FA07" w14:textId="77777777" w:rsidR="0065547B" w:rsidRDefault="0065547B" w:rsidP="00C83A8E">
      <w:pPr>
        <w:rPr>
          <w:rFonts w:ascii="ArialMT" w:hAnsi="ArialMT" w:cs="ArialMT"/>
          <w:b/>
          <w:bCs/>
          <w:sz w:val="25"/>
          <w:szCs w:val="25"/>
        </w:rPr>
      </w:pPr>
    </w:p>
    <w:p w14:paraId="1C72218F" w14:textId="42DEF000" w:rsidR="00DB4E72" w:rsidRDefault="0065547B" w:rsidP="00C83A8E">
      <w:pPr>
        <w:rPr>
          <w:rFonts w:ascii="ArialMT" w:hAnsi="ArialMT" w:cs="ArialMT"/>
          <w:b/>
          <w:bCs/>
          <w:sz w:val="25"/>
          <w:szCs w:val="25"/>
        </w:rPr>
      </w:pPr>
      <w:r w:rsidRPr="00DB4E72">
        <w:rPr>
          <w:rFonts w:ascii="ArialMT" w:hAnsi="ArialMT" w:cs="ArialMT"/>
          <w:b/>
          <w:bCs/>
          <w:sz w:val="25"/>
          <w:szCs w:val="25"/>
        </w:rPr>
        <w:lastRenderedPageBreak/>
        <w:t>Calcul de</w:t>
      </w:r>
      <w:r w:rsidRPr="0065547B">
        <w:rPr>
          <w:rFonts w:ascii="ArialMT" w:hAnsi="ArialMT" w:cs="ArialMT"/>
          <w:b/>
          <w:bCs/>
          <w:sz w:val="25"/>
          <w:szCs w:val="25"/>
        </w:rPr>
        <w:t xml:space="preserve"> </w:t>
      </w:r>
      <w:r w:rsidR="00DB4E72" w:rsidRPr="0065547B">
        <w:rPr>
          <w:rFonts w:ascii="ArialMT" w:hAnsi="ArialMT" w:cs="ArialMT"/>
          <w:b/>
          <w:bCs/>
          <w:sz w:val="25"/>
          <w:szCs w:val="25"/>
        </w:rPr>
        <w:t>Matrice de covariance totale</w:t>
      </w:r>
    </w:p>
    <w:p w14:paraId="5D827A32" w14:textId="7D97069E" w:rsidR="0065547B" w:rsidRDefault="00806832" w:rsidP="00C83A8E">
      <w:pPr>
        <w:rPr>
          <w:rFonts w:ascii="ArialMT" w:hAnsi="ArialMT" w:cs="ArialMT"/>
          <w:b/>
          <w:bCs/>
          <w:sz w:val="25"/>
          <w:szCs w:val="25"/>
        </w:rPr>
      </w:pPr>
      <w:r>
        <w:rPr>
          <w:noProof/>
        </w:rPr>
        <w:drawing>
          <wp:inline distT="0" distB="0" distL="0" distR="0" wp14:anchorId="3410B70B" wp14:editId="004AFAEA">
            <wp:extent cx="333375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CC05" w14:textId="02CC4219" w:rsidR="00296B20" w:rsidRPr="0065547B" w:rsidRDefault="00296B20" w:rsidP="00C83A8E">
      <w:pPr>
        <w:rPr>
          <w:rFonts w:ascii="ArialMT" w:hAnsi="ArialMT" w:cs="ArialMT"/>
          <w:b/>
          <w:bCs/>
          <w:sz w:val="25"/>
          <w:szCs w:val="25"/>
        </w:rPr>
      </w:pPr>
      <w:r>
        <w:rPr>
          <w:noProof/>
        </w:rPr>
        <w:drawing>
          <wp:inline distT="0" distB="0" distL="0" distR="0" wp14:anchorId="7110600B" wp14:editId="1C417139">
            <wp:extent cx="226695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B20" w:rsidRPr="00655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B8"/>
    <w:rsid w:val="00171FD6"/>
    <w:rsid w:val="00223EA9"/>
    <w:rsid w:val="00296B20"/>
    <w:rsid w:val="002F644B"/>
    <w:rsid w:val="004401F6"/>
    <w:rsid w:val="00481294"/>
    <w:rsid w:val="004966FF"/>
    <w:rsid w:val="004E6B49"/>
    <w:rsid w:val="0054153E"/>
    <w:rsid w:val="0065547B"/>
    <w:rsid w:val="00806832"/>
    <w:rsid w:val="00AC3F03"/>
    <w:rsid w:val="00AD53FC"/>
    <w:rsid w:val="00C83A8E"/>
    <w:rsid w:val="00DB4E72"/>
    <w:rsid w:val="00E879E1"/>
    <w:rsid w:val="00F5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1CAE"/>
  <w15:chartTrackingRefBased/>
  <w15:docId w15:val="{FB099656-395D-49AF-B030-1A364F52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mouna.tabarki@ENICAR.u-carthage.tn</dc:creator>
  <cp:keywords/>
  <dc:description/>
  <cp:lastModifiedBy>mouna.tabarki@ENICAR.u-carthage.tn</cp:lastModifiedBy>
  <cp:revision>12</cp:revision>
  <dcterms:created xsi:type="dcterms:W3CDTF">2020-12-20T14:03:00Z</dcterms:created>
  <dcterms:modified xsi:type="dcterms:W3CDTF">2020-12-20T17:42:00Z</dcterms:modified>
</cp:coreProperties>
</file>