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DB19CF" w:rsidRDefault="00346AFC" w:rsidP="00205F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9C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[1] A.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and B. Waters, “Fuzzy identity-based encryption,” in Annual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International Conference on the Theory and Applications of Crypto982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graphic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Techniques, pp. 457–473, Springer, 2005.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[2] V.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Goyal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O.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B. Waters, “Attribute-based encryp984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tion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for fine-grained access control of encrypted data,” in Proceedings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the 13th ACM conference on Computer and communications security,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 xml:space="preserve">pp. 89–98,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Acm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2006.</w:t>
      </w:r>
      <w:proofErr w:type="gramEnd"/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[3] J.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Bethencourt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Sahai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B. Waters, “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-policy attribute988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encryption,” in Security and Privacy, 2007.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SP’07.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IEEE Sympo989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sium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on, pp. 321–334, IEEE, 2007.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[4] B. Waters, “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-policy attribute-based encryption: An expressive,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, and provably secure realization,” in International Workshop on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Public Key Cryptography, pp. 53–70, Springer, 2011.</w:t>
      </w:r>
      <w:proofErr w:type="gramEnd"/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[5] H.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Qian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J. Li, Y. Zhang, and J. Han, “Privacy-preserving personal health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using multi-authority attribute-based encryption with revocation,”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International Journal of Information Security, vol. 14, no. 6, pp. 487–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96 497, 2015.</w:t>
      </w:r>
      <w:proofErr w:type="gramEnd"/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[6] J. Liu, X. Huang, and J. K. Liu, “Secure sharing of personal health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records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in cloud computing: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-policy attribute-based signcryp999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tion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>,” Future Generation Computer Systems, vol. 52, pp. 67–76, 2015.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[7] L. Fang, W.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J. Wang, “Interactive conditional proxy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re-encryption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with fine grain policy,” Journal of Systems and Software,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vol. 84, no. 12, pp. 2293–2302, 2011.</w:t>
      </w:r>
      <w:proofErr w:type="gramEnd"/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[8] K.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Emura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A. Miyaji, A. Nomura, K.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Omote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Soshi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“A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-policy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attribute-based encryption scheme with constant ci1005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phertext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length,” in International Conference on Information Security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Practice and Experience, pp. 13–23, Springer, 2009.</w:t>
      </w:r>
      <w:proofErr w:type="gramEnd"/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[9] S.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and B. Waters, “Attribute-based encryption with fast</w:t>
      </w:r>
    </w:p>
    <w:p w:rsidR="00013B86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decryption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,” in Public-Key Cryptography–PKC 2013, pp. 162–179,</w:t>
      </w:r>
    </w:p>
    <w:p w:rsidR="00231F79" w:rsidRPr="00E963E1" w:rsidRDefault="00013B86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Springer, 2013.</w:t>
      </w:r>
      <w:proofErr w:type="gramEnd"/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[10] A.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Lewko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and B. Waters, “New proof methods for attribute-based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: Achieving full security through selective techniques,” in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Advances in Cryptology–CRYPTO 2012, pp. 180–198, Springer, 2012.</w:t>
      </w:r>
      <w:proofErr w:type="gramEnd"/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[11] M. Li, S. Yu, Y.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Zheng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K.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W. Lou, “Scalable and secure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sharing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of personal health records in cloud computing using attribute1015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encryption,” IEEE transactions on parallel and distributed sys1016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tems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>, vol. 24, no. 1, pp. 131–143, 2012.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[12] L. Zhang, G.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Y. Mu, and F.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Rezaeibagha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“Hidden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policy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attribute-based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encryption with fast decryption for personal health record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,” IEEE Access, vol. 7, pp. 33202–33213, 2019.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[13] M. Green, S.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B.Waters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et al., “Outsourcing the decryption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abe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.,” in USENIX Security Symposium, vol. 2011, 2011.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[14] J. Lai, R. H. Deng, C. Guan, and J.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“Attribute-based encryption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verifiable outsourced decryption,” IEEE Transactions on informa1024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tion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forensics and security, vol. 8, no. 8, pp. 1343–1354, 2013.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[15] J. Li, X. Huang, J. Li, X. Chen, and Y. Xiang, “Securely outsourcing</w:t>
      </w:r>
    </w:p>
    <w:p w:rsidR="000D68D0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attribute-based encryption with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checkability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,” IEEE Transactions on</w:t>
      </w:r>
    </w:p>
    <w:p w:rsidR="00013B86" w:rsidRPr="00E963E1" w:rsidRDefault="000D68D0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63E1">
        <w:rPr>
          <w:rFonts w:ascii="Times New Roman" w:hAnsi="Times New Roman" w:cs="Times New Roman"/>
          <w:sz w:val="28"/>
          <w:szCs w:val="28"/>
        </w:rPr>
        <w:t>Parallel and Distributed Systems, vol. 25, no. 8, pp. 2201–2210, 2013.</w:t>
      </w:r>
      <w:proofErr w:type="gramEnd"/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[16] M. Blaze, G.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Bleumer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M. Strauss, “Divertible protocols and atomic 1028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cryptography,” in International Conference on the Theory and 1029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Applications of Cryptographic Techniques, pp. 127–144, Springer, 1998.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1030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[17] G.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Ateniese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K. Fu, M. Green, and S.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Hohenberger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“Improved proxy 1031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re-encryption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schemes with applications to secure distributed storage,” 1032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lastRenderedPageBreak/>
        <w:t>ACM Transactions on Information and System Security (TISSEC), vol. 9, 1033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. 1, pp. 1–30, 2006. 1034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[18] B.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Libert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and D.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Vergnaud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“Unidirectional chosen-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secure 1035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re-encryption,” IEEE Transactions on Information Theory, vol. 57, 1036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. 3, pp. 1786–1802, 2011. 1037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[19] M. Green and G.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Ateniese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“Identity-based proxy re-encryption,” in 1038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>Applied Cryptography and Network Security, pp. 288–306, Springer, 1039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>2007. 1040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[20] C.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J. Wang, and L. Fang, “Identity-based conditional 1041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proxy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re-encryption with fine grain policy,” Computer Standards &amp; 1042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Interfaces, vol. 52, pp. 1–9, 2017.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1043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[21] X. Liang, Z. Cao, H. Lin, and J.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Shao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“Attribute based proxy re- 1044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with delegating capabilities,” in Proceedings of the 4th In- 1045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ternational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Symposium on Information, Computer, and Communications 1046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Security, pp. 276–286, ACM, 2009.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1047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[22] S.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Luo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, and Z. Chen, “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policy attribute-based proxy 1048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re-encryption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>,” in International Conference on Information and Com- 1049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3E1">
        <w:rPr>
          <w:rFonts w:ascii="Times New Roman" w:hAnsi="Times New Roman" w:cs="Times New Roman"/>
          <w:sz w:val="28"/>
          <w:szCs w:val="28"/>
        </w:rPr>
        <w:t>munications</w:t>
      </w:r>
      <w:proofErr w:type="spellEnd"/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Security, pp. 401–415, Springer, 2010. 1050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 xml:space="preserve">[23] K. Liang, L. Fang, W.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Susilo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, and D. S. Wong, “A 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-policy 1051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attribute-based</w:t>
      </w:r>
      <w:proofErr w:type="gramEnd"/>
      <w:r w:rsidRPr="00E963E1">
        <w:rPr>
          <w:rFonts w:ascii="Times New Roman" w:hAnsi="Times New Roman" w:cs="Times New Roman"/>
          <w:sz w:val="28"/>
          <w:szCs w:val="28"/>
        </w:rPr>
        <w:t xml:space="preserve"> proxy re-encryption with chosen-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 xml:space="preserve"> security,” in 1052</w:t>
      </w:r>
    </w:p>
    <w:p w:rsidR="008274EF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3E1">
        <w:rPr>
          <w:rFonts w:ascii="Times New Roman" w:hAnsi="Times New Roman" w:cs="Times New Roman"/>
          <w:sz w:val="28"/>
          <w:szCs w:val="28"/>
        </w:rPr>
        <w:t>Intelligent Networking and Collaborative Systems (</w:t>
      </w:r>
      <w:proofErr w:type="spellStart"/>
      <w:r w:rsidRPr="00E963E1">
        <w:rPr>
          <w:rFonts w:ascii="Times New Roman" w:hAnsi="Times New Roman" w:cs="Times New Roman"/>
          <w:sz w:val="28"/>
          <w:szCs w:val="28"/>
        </w:rPr>
        <w:t>INCoS</w:t>
      </w:r>
      <w:proofErr w:type="spellEnd"/>
      <w:r w:rsidRPr="00E963E1">
        <w:rPr>
          <w:rFonts w:ascii="Times New Roman" w:hAnsi="Times New Roman" w:cs="Times New Roman"/>
          <w:sz w:val="28"/>
          <w:szCs w:val="28"/>
        </w:rPr>
        <w:t>), 2013 5th 1053</w:t>
      </w:r>
    </w:p>
    <w:p w:rsidR="000D68D0" w:rsidRPr="00E963E1" w:rsidRDefault="008274EF" w:rsidP="00E963E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63E1">
        <w:rPr>
          <w:rFonts w:ascii="Times New Roman" w:hAnsi="Times New Roman" w:cs="Times New Roman"/>
          <w:sz w:val="28"/>
          <w:szCs w:val="28"/>
        </w:rPr>
        <w:t>International Conference on, pp. 552–559, IEEE, 2013.</w:t>
      </w:r>
      <w:proofErr w:type="gramEnd"/>
    </w:p>
    <w:sectPr w:rsidR="000D68D0" w:rsidRPr="00E963E1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3B86"/>
    <w:rsid w:val="000520FC"/>
    <w:rsid w:val="000D68D0"/>
    <w:rsid w:val="00205015"/>
    <w:rsid w:val="00205FC3"/>
    <w:rsid w:val="00231F79"/>
    <w:rsid w:val="00247618"/>
    <w:rsid w:val="002B2F00"/>
    <w:rsid w:val="00341937"/>
    <w:rsid w:val="00346AFC"/>
    <w:rsid w:val="003C0441"/>
    <w:rsid w:val="003F0642"/>
    <w:rsid w:val="004D35B6"/>
    <w:rsid w:val="005A5771"/>
    <w:rsid w:val="006161DD"/>
    <w:rsid w:val="00643315"/>
    <w:rsid w:val="006D3201"/>
    <w:rsid w:val="00756916"/>
    <w:rsid w:val="008274EF"/>
    <w:rsid w:val="008624BA"/>
    <w:rsid w:val="00994925"/>
    <w:rsid w:val="009E6F40"/>
    <w:rsid w:val="00A44E81"/>
    <w:rsid w:val="00A81634"/>
    <w:rsid w:val="00A9036B"/>
    <w:rsid w:val="00B17AD3"/>
    <w:rsid w:val="00B548C9"/>
    <w:rsid w:val="00B54BC4"/>
    <w:rsid w:val="00B74B28"/>
    <w:rsid w:val="00C41726"/>
    <w:rsid w:val="00CF6001"/>
    <w:rsid w:val="00D5121E"/>
    <w:rsid w:val="00DB19CF"/>
    <w:rsid w:val="00DD227D"/>
    <w:rsid w:val="00E1116C"/>
    <w:rsid w:val="00E963E1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31</cp:revision>
  <dcterms:created xsi:type="dcterms:W3CDTF">2016-12-19T05:55:00Z</dcterms:created>
  <dcterms:modified xsi:type="dcterms:W3CDTF">2021-02-13T10:44:00Z</dcterms:modified>
</cp:coreProperties>
</file>