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85352" w14:textId="77777777" w:rsidR="002A40D1" w:rsidRPr="00D826E2" w:rsidRDefault="002A40D1" w:rsidP="00D826E2">
      <w:pPr>
        <w:pStyle w:val="Heading1"/>
        <w:rPr>
          <w:rFonts w:ascii="Arial" w:eastAsia="Times New Roman" w:hAnsi="Arial" w:cs="Arial"/>
          <w:sz w:val="24"/>
          <w:szCs w:val="24"/>
          <w:lang w:eastAsia="en-IN"/>
        </w:rPr>
      </w:pPr>
      <w:r w:rsidRPr="00D826E2">
        <w:rPr>
          <w:rFonts w:ascii="Arial" w:eastAsia="Times New Roman" w:hAnsi="Arial" w:cs="Arial"/>
          <w:lang w:eastAsia="en-IN"/>
        </w:rPr>
        <w:t>Introduction</w:t>
      </w:r>
    </w:p>
    <w:p w14:paraId="6AB14648" w14:textId="77777777" w:rsidR="002A40D1" w:rsidRPr="00D826E2" w:rsidRDefault="002A40D1" w:rsidP="002A40D1">
      <w:pPr>
        <w:spacing w:after="0" w:line="240" w:lineRule="auto"/>
        <w:rPr>
          <w:rFonts w:ascii="Arial" w:eastAsia="Times New Roman" w:hAnsi="Arial" w:cs="Arial"/>
          <w:sz w:val="24"/>
          <w:szCs w:val="24"/>
          <w:lang w:eastAsia="en-IN"/>
        </w:rPr>
      </w:pPr>
    </w:p>
    <w:p w14:paraId="6B037AA2" w14:textId="14F7AEE1" w:rsidR="00C52DEE" w:rsidRPr="00D826E2" w:rsidRDefault="002A40D1" w:rsidP="00D826E2">
      <w:pPr>
        <w:spacing w:after="0" w:line="240" w:lineRule="auto"/>
        <w:rPr>
          <w:rFonts w:ascii="Arial" w:eastAsia="Times New Roman" w:hAnsi="Arial" w:cs="Arial"/>
          <w:color w:val="000000"/>
          <w:lang w:eastAsia="en-IN"/>
        </w:rPr>
      </w:pPr>
      <w:r w:rsidRPr="00D826E2">
        <w:rPr>
          <w:rFonts w:ascii="Arial" w:eastAsia="Times New Roman" w:hAnsi="Arial" w:cs="Arial"/>
          <w:color w:val="000000"/>
          <w:lang w:eastAsia="en-IN"/>
        </w:rPr>
        <w:t xml:space="preserve">The following report consists </w:t>
      </w:r>
      <w:r w:rsidR="001A7B70">
        <w:rPr>
          <w:rFonts w:ascii="Arial" w:eastAsia="Times New Roman" w:hAnsi="Arial" w:cs="Arial"/>
          <w:color w:val="000000"/>
          <w:lang w:eastAsia="en-IN"/>
        </w:rPr>
        <w:t xml:space="preserve">of </w:t>
      </w:r>
      <w:r w:rsidRPr="00D826E2">
        <w:rPr>
          <w:rFonts w:ascii="Arial" w:eastAsia="Times New Roman" w:hAnsi="Arial" w:cs="Arial"/>
          <w:color w:val="000000"/>
          <w:lang w:eastAsia="en-IN"/>
        </w:rPr>
        <w:t>study of effective connecti</w:t>
      </w:r>
      <w:r w:rsidR="001A7B70">
        <w:rPr>
          <w:rFonts w:ascii="Arial" w:eastAsia="Times New Roman" w:hAnsi="Arial" w:cs="Arial"/>
          <w:color w:val="000000"/>
          <w:lang w:eastAsia="en-IN"/>
        </w:rPr>
        <w:t>vity</w:t>
      </w:r>
      <w:r w:rsidRPr="00D826E2">
        <w:rPr>
          <w:rFonts w:ascii="Arial" w:eastAsia="Times New Roman" w:hAnsi="Arial" w:cs="Arial"/>
          <w:color w:val="000000"/>
          <w:lang w:eastAsia="en-IN"/>
        </w:rPr>
        <w:t xml:space="preserve"> in the brain</w:t>
      </w:r>
      <w:r w:rsidR="00D826E2" w:rsidRPr="00D826E2">
        <w:rPr>
          <w:rFonts w:ascii="Arial" w:eastAsia="Times New Roman" w:hAnsi="Arial" w:cs="Arial"/>
          <w:color w:val="000000"/>
          <w:lang w:eastAsia="en-IN"/>
        </w:rPr>
        <w:t xml:space="preserve"> using different approaches</w:t>
      </w:r>
      <w:r w:rsidRPr="00D826E2">
        <w:rPr>
          <w:rFonts w:ascii="Arial" w:eastAsia="Times New Roman" w:hAnsi="Arial" w:cs="Arial"/>
          <w:color w:val="000000"/>
          <w:lang w:eastAsia="en-IN"/>
        </w:rPr>
        <w:t xml:space="preserve"> when motor imagery tasks are performed.</w:t>
      </w:r>
      <w:r w:rsidR="00D826E2" w:rsidRPr="00D826E2">
        <w:rPr>
          <w:rFonts w:ascii="Arial" w:eastAsia="Times New Roman" w:hAnsi="Arial" w:cs="Arial"/>
          <w:color w:val="000000"/>
          <w:lang w:eastAsia="en-IN"/>
        </w:rPr>
        <w:t xml:space="preserve"> The aim of this study is to infer information flow graphs consistent with all subjects when motor imagery tasks are performed. </w:t>
      </w:r>
      <w:r w:rsidR="00C52DEE" w:rsidRPr="00D826E2">
        <w:rPr>
          <w:rFonts w:ascii="Arial" w:eastAsia="Times New Roman" w:hAnsi="Arial" w:cs="Arial"/>
          <w:color w:val="000000"/>
          <w:lang w:eastAsia="en-IN"/>
        </w:rPr>
        <w:t>In this study, I used T</w:t>
      </w:r>
      <w:r w:rsidR="00D826E2" w:rsidRPr="00D826E2">
        <w:rPr>
          <w:rFonts w:ascii="Arial" w:eastAsia="Times New Roman" w:hAnsi="Arial" w:cs="Arial"/>
          <w:color w:val="000000"/>
          <w:lang w:eastAsia="en-IN"/>
        </w:rPr>
        <w:t xml:space="preserve">ransfer </w:t>
      </w:r>
      <w:r w:rsidR="00C52DEE" w:rsidRPr="00D826E2">
        <w:rPr>
          <w:rFonts w:ascii="Arial" w:eastAsia="Times New Roman" w:hAnsi="Arial" w:cs="Arial"/>
          <w:color w:val="000000"/>
          <w:lang w:eastAsia="en-IN"/>
        </w:rPr>
        <w:t>E</w:t>
      </w:r>
      <w:r w:rsidR="00D826E2" w:rsidRPr="00D826E2">
        <w:rPr>
          <w:rFonts w:ascii="Arial" w:eastAsia="Times New Roman" w:hAnsi="Arial" w:cs="Arial"/>
          <w:color w:val="000000"/>
          <w:lang w:eastAsia="en-IN"/>
        </w:rPr>
        <w:t>ntropy</w:t>
      </w:r>
      <w:r w:rsidR="00C52DEE" w:rsidRPr="00D826E2">
        <w:rPr>
          <w:rFonts w:ascii="Arial" w:eastAsia="Times New Roman" w:hAnsi="Arial" w:cs="Arial"/>
          <w:color w:val="000000"/>
          <w:lang w:eastAsia="en-IN"/>
        </w:rPr>
        <w:t xml:space="preserve"> and G</w:t>
      </w:r>
      <w:r w:rsidR="00D826E2" w:rsidRPr="00D826E2">
        <w:rPr>
          <w:rFonts w:ascii="Arial" w:eastAsia="Times New Roman" w:hAnsi="Arial" w:cs="Arial"/>
          <w:color w:val="000000"/>
          <w:lang w:eastAsia="en-IN"/>
        </w:rPr>
        <w:t xml:space="preserve">ranger </w:t>
      </w:r>
      <w:r w:rsidR="00C52DEE" w:rsidRPr="00D826E2">
        <w:rPr>
          <w:rFonts w:ascii="Arial" w:eastAsia="Times New Roman" w:hAnsi="Arial" w:cs="Arial"/>
          <w:color w:val="000000"/>
          <w:lang w:eastAsia="en-IN"/>
        </w:rPr>
        <w:t>C</w:t>
      </w:r>
      <w:r w:rsidR="00D826E2" w:rsidRPr="00D826E2">
        <w:rPr>
          <w:rFonts w:ascii="Arial" w:eastAsia="Times New Roman" w:hAnsi="Arial" w:cs="Arial"/>
          <w:color w:val="000000"/>
          <w:lang w:eastAsia="en-IN"/>
        </w:rPr>
        <w:t>ausality</w:t>
      </w:r>
      <w:r w:rsidR="00C52DEE" w:rsidRPr="00D826E2">
        <w:rPr>
          <w:rFonts w:ascii="Arial" w:eastAsia="Times New Roman" w:hAnsi="Arial" w:cs="Arial"/>
          <w:color w:val="000000"/>
          <w:lang w:eastAsia="en-IN"/>
        </w:rPr>
        <w:t xml:space="preserve"> as a measure of effective connectivity for motor imagery tasks. BCI IV 2a (4 class motor imagery</w:t>
      </w:r>
      <w:r w:rsidR="00D826E2" w:rsidRPr="00D826E2">
        <w:rPr>
          <w:rFonts w:ascii="Arial" w:eastAsia="Times New Roman" w:hAnsi="Arial" w:cs="Arial"/>
          <w:color w:val="000000"/>
          <w:lang w:eastAsia="en-IN"/>
        </w:rPr>
        <w:t>)</w:t>
      </w:r>
      <w:r w:rsidR="00C52DEE" w:rsidRPr="00D826E2">
        <w:rPr>
          <w:rFonts w:ascii="Arial" w:eastAsia="Times New Roman" w:hAnsi="Arial" w:cs="Arial"/>
          <w:color w:val="000000"/>
          <w:lang w:eastAsia="en-IN"/>
        </w:rPr>
        <w:t xml:space="preserve"> dataset is used for the analysis.</w:t>
      </w:r>
    </w:p>
    <w:p w14:paraId="34710A92" w14:textId="71908E79" w:rsidR="00C52DEE" w:rsidRPr="00D826E2" w:rsidRDefault="00C52DEE" w:rsidP="00D826E2">
      <w:pPr>
        <w:pStyle w:val="Heading1"/>
        <w:rPr>
          <w:rFonts w:ascii="Arial" w:hAnsi="Arial" w:cs="Arial"/>
        </w:rPr>
      </w:pPr>
      <w:r w:rsidRPr="00D826E2">
        <w:rPr>
          <w:rFonts w:ascii="Arial" w:hAnsi="Arial" w:cs="Arial"/>
        </w:rPr>
        <w:t>Dataset Description</w:t>
      </w:r>
    </w:p>
    <w:p w14:paraId="51B69FE2" w14:textId="77777777" w:rsidR="00D826E2" w:rsidRPr="00D826E2" w:rsidRDefault="00D826E2" w:rsidP="00D826E2">
      <w:pPr>
        <w:rPr>
          <w:rFonts w:ascii="Arial" w:hAnsi="Arial" w:cs="Arial"/>
        </w:rPr>
      </w:pPr>
    </w:p>
    <w:p w14:paraId="288AC16D" w14:textId="1274D2A6" w:rsidR="00FE77E8" w:rsidRPr="00D826E2" w:rsidRDefault="00B60C1A" w:rsidP="00C52DEE">
      <w:pPr>
        <w:rPr>
          <w:rFonts w:ascii="Arial" w:hAnsi="Arial" w:cs="Arial"/>
        </w:rPr>
      </w:pPr>
      <w:r w:rsidRPr="00D826E2">
        <w:rPr>
          <w:rFonts w:ascii="Arial" w:eastAsia="Times New Roman" w:hAnsi="Arial" w:cs="Arial"/>
          <w:color w:val="000000"/>
          <w:lang w:eastAsia="en-IN"/>
        </w:rPr>
        <w:t>The BCI IV 2a dataset consists of EEG signals from 9 different subjects</w:t>
      </w:r>
      <w:sdt>
        <w:sdtPr>
          <w:rPr>
            <w:rFonts w:ascii="Arial" w:eastAsia="Times New Roman" w:hAnsi="Arial" w:cs="Arial"/>
            <w:color w:val="000000"/>
            <w:lang w:eastAsia="en-IN"/>
          </w:rPr>
          <w:id w:val="2055349833"/>
          <w:citation/>
        </w:sdtPr>
        <w:sdtEndPr/>
        <w:sdtContent>
          <w:r w:rsidR="00D826E2" w:rsidRPr="00D826E2">
            <w:rPr>
              <w:rFonts w:ascii="Arial" w:eastAsia="Times New Roman" w:hAnsi="Arial" w:cs="Arial"/>
              <w:color w:val="000000"/>
              <w:lang w:eastAsia="en-IN"/>
            </w:rPr>
            <w:fldChar w:fldCharType="begin"/>
          </w:r>
          <w:r w:rsidR="00D826E2" w:rsidRPr="00D826E2">
            <w:rPr>
              <w:rFonts w:ascii="Arial" w:eastAsia="Times New Roman" w:hAnsi="Arial" w:cs="Arial"/>
              <w:color w:val="000000"/>
              <w:lang w:eastAsia="en-IN"/>
            </w:rPr>
            <w:instrText xml:space="preserve"> CITATION CBr \l 16393 </w:instrText>
          </w:r>
          <w:r w:rsidR="00D826E2" w:rsidRPr="00D826E2">
            <w:rPr>
              <w:rFonts w:ascii="Arial" w:eastAsia="Times New Roman" w:hAnsi="Arial" w:cs="Arial"/>
              <w:color w:val="000000"/>
              <w:lang w:eastAsia="en-IN"/>
            </w:rPr>
            <w:fldChar w:fldCharType="separate"/>
          </w:r>
          <w:r w:rsidR="00D826E2" w:rsidRPr="00D826E2">
            <w:rPr>
              <w:rFonts w:ascii="Arial" w:eastAsia="Times New Roman" w:hAnsi="Arial" w:cs="Arial"/>
              <w:noProof/>
              <w:color w:val="000000"/>
              <w:lang w:eastAsia="en-IN"/>
            </w:rPr>
            <w:t xml:space="preserve"> (C. Brunner)</w:t>
          </w:r>
          <w:r w:rsidR="00D826E2"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The subjects were asked to perform 4 different motor imagery tasks namely imagination of movement of left hand, right hand, both feet and tongue. Each session comprised of 6 runs, each run consisting of 48 trials (12 trials per each class) yielding a total of 288 trials per session.</w:t>
      </w:r>
      <w:r w:rsidR="00FE77E8" w:rsidRPr="00D826E2">
        <w:rPr>
          <w:rFonts w:ascii="Arial" w:hAnsi="Arial" w:cs="Arial"/>
        </w:rPr>
        <w:t xml:space="preserve"> The signal was recorded using 22 EEG electrodes according to the 10-20 system. It is bandpass filtered between 0.5 Hz and 100 Hz and sampled with 250 Hz. </w:t>
      </w:r>
    </w:p>
    <w:p w14:paraId="2F82FD98" w14:textId="26F5E9C4" w:rsidR="00C52DEE" w:rsidRPr="00D826E2" w:rsidRDefault="00B60C1A" w:rsidP="00C52DEE">
      <w:pPr>
        <w:rPr>
          <w:rFonts w:ascii="Arial" w:eastAsia="Times New Roman" w:hAnsi="Arial" w:cs="Arial"/>
          <w:color w:val="000000"/>
          <w:lang w:eastAsia="en-IN"/>
        </w:rPr>
      </w:pPr>
      <w:r w:rsidRPr="00D826E2">
        <w:rPr>
          <w:rFonts w:ascii="Arial" w:eastAsia="Times New Roman" w:hAnsi="Arial" w:cs="Arial"/>
          <w:color w:val="000000"/>
          <w:lang w:eastAsia="en-IN"/>
        </w:rPr>
        <w:t>Data</w:t>
      </w:r>
      <w:r w:rsidR="00FE77E8" w:rsidRPr="00D826E2">
        <w:rPr>
          <w:rFonts w:ascii="Arial" w:eastAsia="Times New Roman" w:hAnsi="Arial" w:cs="Arial"/>
          <w:color w:val="000000"/>
          <w:lang w:eastAsia="en-IN"/>
        </w:rPr>
        <w:t xml:space="preserve"> is extracted from 9 channels</w:t>
      </w:r>
      <w:sdt>
        <w:sdtPr>
          <w:rPr>
            <w:rFonts w:ascii="Arial" w:eastAsia="Times New Roman" w:hAnsi="Arial" w:cs="Arial"/>
            <w:color w:val="000000"/>
            <w:lang w:eastAsia="en-IN"/>
          </w:rPr>
          <w:id w:val="448211233"/>
          <w:citation/>
        </w:sdtPr>
        <w:sdtEndPr/>
        <w:sdtContent>
          <w:r w:rsidR="001A7B70">
            <w:rPr>
              <w:rFonts w:ascii="Arial" w:eastAsia="Times New Roman" w:hAnsi="Arial" w:cs="Arial"/>
              <w:color w:val="000000"/>
              <w:lang w:eastAsia="en-IN"/>
            </w:rPr>
            <w:fldChar w:fldCharType="begin"/>
          </w:r>
          <w:r w:rsidR="001A7B70">
            <w:rPr>
              <w:rFonts w:ascii="Arial" w:eastAsia="Times New Roman" w:hAnsi="Arial" w:cs="Arial"/>
              <w:color w:val="000000"/>
              <w:lang w:eastAsia="en-IN"/>
            </w:rPr>
            <w:instrText xml:space="preserve"> CITATION Lia16 \l 16393 </w:instrText>
          </w:r>
          <w:r w:rsidR="001A7B70">
            <w:rPr>
              <w:rFonts w:ascii="Arial" w:eastAsia="Times New Roman" w:hAnsi="Arial" w:cs="Arial"/>
              <w:color w:val="000000"/>
              <w:lang w:eastAsia="en-IN"/>
            </w:rPr>
            <w:fldChar w:fldCharType="separate"/>
          </w:r>
          <w:r w:rsidR="001A7B70">
            <w:rPr>
              <w:rFonts w:ascii="Arial" w:eastAsia="Times New Roman" w:hAnsi="Arial" w:cs="Arial"/>
              <w:noProof/>
              <w:color w:val="000000"/>
              <w:lang w:eastAsia="en-IN"/>
            </w:rPr>
            <w:t xml:space="preserve"> </w:t>
          </w:r>
          <w:r w:rsidR="001A7B70" w:rsidRPr="001A7B70">
            <w:rPr>
              <w:rFonts w:ascii="Arial" w:eastAsia="Times New Roman" w:hAnsi="Arial" w:cs="Arial"/>
              <w:noProof/>
              <w:color w:val="000000"/>
              <w:lang w:eastAsia="en-IN"/>
            </w:rPr>
            <w:t>(Liang, 2016)</w:t>
          </w:r>
          <w:r w:rsidR="001A7B70">
            <w:rPr>
              <w:rFonts w:ascii="Arial" w:eastAsia="Times New Roman" w:hAnsi="Arial" w:cs="Arial"/>
              <w:color w:val="000000"/>
              <w:lang w:eastAsia="en-IN"/>
            </w:rPr>
            <w:fldChar w:fldCharType="end"/>
          </w:r>
        </w:sdtContent>
      </w:sdt>
      <w:r w:rsidR="00FE77E8" w:rsidRPr="00D826E2">
        <w:rPr>
          <w:rFonts w:ascii="Arial" w:eastAsia="Times New Roman" w:hAnsi="Arial" w:cs="Arial"/>
          <w:color w:val="000000"/>
          <w:lang w:eastAsia="en-IN"/>
        </w:rPr>
        <w:t xml:space="preserve"> out of the 22</w:t>
      </w:r>
      <w:r w:rsidR="001A7B70">
        <w:rPr>
          <w:rFonts w:ascii="Arial" w:eastAsia="Times New Roman" w:hAnsi="Arial" w:cs="Arial"/>
          <w:color w:val="000000"/>
          <w:lang w:eastAsia="en-IN"/>
        </w:rPr>
        <w:t xml:space="preserve"> channels</w:t>
      </w:r>
      <w:r w:rsidR="00FE77E8" w:rsidRPr="00D826E2">
        <w:rPr>
          <w:rFonts w:ascii="Arial" w:eastAsia="Times New Roman" w:hAnsi="Arial" w:cs="Arial"/>
          <w:color w:val="000000"/>
          <w:lang w:eastAsia="en-IN"/>
        </w:rPr>
        <w:t xml:space="preserve"> </w:t>
      </w:r>
      <w:r w:rsidRPr="00D826E2">
        <w:rPr>
          <w:rFonts w:ascii="Arial" w:eastAsia="Times New Roman" w:hAnsi="Arial" w:cs="Arial"/>
          <w:color w:val="000000"/>
          <w:lang w:eastAsia="en-IN"/>
        </w:rPr>
        <w:t>for each subject</w:t>
      </w:r>
      <w:r w:rsidR="001A7B70">
        <w:rPr>
          <w:rFonts w:ascii="Arial" w:eastAsia="Times New Roman" w:hAnsi="Arial" w:cs="Arial"/>
          <w:color w:val="000000"/>
          <w:lang w:eastAsia="en-IN"/>
        </w:rPr>
        <w:t xml:space="preserve"> and</w:t>
      </w:r>
      <w:r w:rsidRPr="00D826E2">
        <w:rPr>
          <w:rFonts w:ascii="Arial" w:eastAsia="Times New Roman" w:hAnsi="Arial" w:cs="Arial"/>
          <w:color w:val="000000"/>
          <w:lang w:eastAsia="en-IN"/>
        </w:rPr>
        <w:t xml:space="preserve"> is averaged on all trials belonging to the motor imagery action (left/right). Different frequency bands correspond to different actions in motor cortex. Activity in beta range has been suggested to subserve the maintenance of current limb position and strong cortico</w:t>
      </w:r>
      <w:r w:rsidR="00FE77E8" w:rsidRPr="00D826E2">
        <w:rPr>
          <w:rFonts w:ascii="Arial" w:eastAsia="Times New Roman" w:hAnsi="Arial" w:cs="Arial"/>
          <w:color w:val="000000"/>
          <w:lang w:eastAsia="en-IN"/>
        </w:rPr>
        <w:t>-</w:t>
      </w:r>
      <w:r w:rsidRPr="00D826E2">
        <w:rPr>
          <w:rFonts w:ascii="Arial" w:eastAsia="Times New Roman" w:hAnsi="Arial" w:cs="Arial"/>
          <w:color w:val="000000"/>
          <w:lang w:eastAsia="en-IN"/>
        </w:rPr>
        <w:t>muscular coherence has been found in this band</w:t>
      </w:r>
      <w:sdt>
        <w:sdtPr>
          <w:rPr>
            <w:rFonts w:ascii="Arial" w:eastAsia="Times New Roman" w:hAnsi="Arial" w:cs="Arial"/>
            <w:color w:val="000000"/>
            <w:lang w:eastAsia="en-IN"/>
          </w:rPr>
          <w:id w:val="1183092316"/>
          <w:citation/>
        </w:sdtPr>
        <w:sdtEndPr/>
        <w:sdtContent>
          <w:r w:rsidR="00D826E2" w:rsidRPr="00D826E2">
            <w:rPr>
              <w:rFonts w:ascii="Arial" w:eastAsia="Times New Roman" w:hAnsi="Arial" w:cs="Arial"/>
              <w:color w:val="000000"/>
              <w:lang w:eastAsia="en-IN"/>
            </w:rPr>
            <w:fldChar w:fldCharType="begin"/>
          </w:r>
          <w:r w:rsidR="00D826E2" w:rsidRPr="00D826E2">
            <w:rPr>
              <w:rFonts w:ascii="Arial" w:eastAsia="Times New Roman" w:hAnsi="Arial" w:cs="Arial"/>
              <w:color w:val="000000"/>
              <w:lang w:eastAsia="en-IN"/>
            </w:rPr>
            <w:instrText xml:space="preserve"> CITATION Vic11 \l 16393 </w:instrText>
          </w:r>
          <w:r w:rsidR="00D826E2" w:rsidRPr="00D826E2">
            <w:rPr>
              <w:rFonts w:ascii="Arial" w:eastAsia="Times New Roman" w:hAnsi="Arial" w:cs="Arial"/>
              <w:color w:val="000000"/>
              <w:lang w:eastAsia="en-IN"/>
            </w:rPr>
            <w:fldChar w:fldCharType="separate"/>
          </w:r>
          <w:r w:rsidR="00D826E2" w:rsidRPr="00D826E2">
            <w:rPr>
              <w:rFonts w:ascii="Arial" w:eastAsia="Times New Roman" w:hAnsi="Arial" w:cs="Arial"/>
              <w:noProof/>
              <w:color w:val="000000"/>
              <w:lang w:eastAsia="en-IN"/>
            </w:rPr>
            <w:t xml:space="preserve"> (Vicente R, 2011)</w:t>
          </w:r>
          <w:r w:rsidR="00D826E2"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The data is band</w:t>
      </w:r>
      <w:r w:rsidR="00FE77E8" w:rsidRPr="00D826E2">
        <w:rPr>
          <w:rFonts w:ascii="Arial" w:eastAsia="Times New Roman" w:hAnsi="Arial" w:cs="Arial"/>
          <w:color w:val="000000"/>
          <w:lang w:eastAsia="en-IN"/>
        </w:rPr>
        <w:t xml:space="preserve"> </w:t>
      </w:r>
      <w:r w:rsidRPr="00D826E2">
        <w:rPr>
          <w:rFonts w:ascii="Arial" w:eastAsia="Times New Roman" w:hAnsi="Arial" w:cs="Arial"/>
          <w:color w:val="000000"/>
          <w:lang w:eastAsia="en-IN"/>
        </w:rPr>
        <w:t xml:space="preserve">passed using </w:t>
      </w:r>
      <w:r w:rsidR="00FE77E8" w:rsidRPr="00D826E2">
        <w:rPr>
          <w:rFonts w:ascii="Arial" w:eastAsia="Times New Roman" w:hAnsi="Arial" w:cs="Arial"/>
          <w:color w:val="000000"/>
          <w:lang w:eastAsia="en-IN"/>
        </w:rPr>
        <w:t>8-30 Hz bandpass filter for most of the experiments expect GC measurement</w:t>
      </w:r>
      <w:r w:rsidR="00D826E2" w:rsidRPr="00D826E2">
        <w:rPr>
          <w:rStyle w:val="FootnoteReference"/>
          <w:rFonts w:ascii="Arial" w:eastAsia="Times New Roman" w:hAnsi="Arial" w:cs="Arial"/>
          <w:color w:val="000000"/>
          <w:lang w:eastAsia="en-IN"/>
        </w:rPr>
        <w:footnoteReference w:id="1"/>
      </w:r>
      <w:r w:rsidR="00FE77E8" w:rsidRPr="00D826E2">
        <w:rPr>
          <w:rFonts w:ascii="Arial" w:eastAsia="Times New Roman" w:hAnsi="Arial" w:cs="Arial"/>
          <w:color w:val="000000"/>
          <w:lang w:eastAsia="en-IN"/>
        </w:rPr>
        <w:t xml:space="preserve">. </w:t>
      </w:r>
    </w:p>
    <w:p w14:paraId="131B95F4" w14:textId="6620788A" w:rsidR="007834C4" w:rsidRPr="00D826E2" w:rsidRDefault="007834C4" w:rsidP="00D826E2">
      <w:pPr>
        <w:pStyle w:val="Heading1"/>
        <w:rPr>
          <w:rFonts w:ascii="Arial" w:eastAsia="Times New Roman" w:hAnsi="Arial" w:cs="Arial"/>
          <w:lang w:eastAsia="en-IN"/>
        </w:rPr>
      </w:pPr>
      <w:r w:rsidRPr="00D826E2">
        <w:rPr>
          <w:rFonts w:ascii="Arial" w:eastAsia="Times New Roman" w:hAnsi="Arial" w:cs="Arial"/>
          <w:lang w:eastAsia="en-IN"/>
        </w:rPr>
        <w:t>Literature</w:t>
      </w:r>
    </w:p>
    <w:p w14:paraId="06BD455D" w14:textId="77777777" w:rsidR="00D826E2" w:rsidRPr="00D826E2" w:rsidRDefault="00D826E2" w:rsidP="00D826E2">
      <w:pPr>
        <w:rPr>
          <w:rFonts w:ascii="Arial" w:hAnsi="Arial" w:cs="Arial"/>
          <w:lang w:eastAsia="en-IN"/>
        </w:rPr>
      </w:pPr>
    </w:p>
    <w:p w14:paraId="12222CBD" w14:textId="68F06605" w:rsidR="00D826E2" w:rsidRPr="00D826E2" w:rsidRDefault="00D826E2" w:rsidP="00C52DEE">
      <w:pPr>
        <w:rPr>
          <w:rFonts w:ascii="Arial" w:eastAsia="Times New Roman" w:hAnsi="Arial" w:cs="Arial"/>
          <w:color w:val="000000"/>
          <w:lang w:eastAsia="en-IN"/>
        </w:rPr>
      </w:pPr>
      <w:r w:rsidRPr="00D826E2">
        <w:rPr>
          <w:rFonts w:ascii="Arial" w:eastAsia="Times New Roman" w:hAnsi="Arial" w:cs="Arial"/>
          <w:color w:val="000000"/>
          <w:lang w:eastAsia="en-IN"/>
        </w:rPr>
        <w:t>Efforts to characterise the structural connectivity of the brain are complemented by focus on functional and effective connections</w:t>
      </w:r>
      <w:sdt>
        <w:sdtPr>
          <w:rPr>
            <w:rFonts w:ascii="Arial" w:eastAsia="Times New Roman" w:hAnsi="Arial" w:cs="Arial"/>
            <w:color w:val="000000"/>
            <w:lang w:eastAsia="en-IN"/>
          </w:rPr>
          <w:id w:val="-1715735492"/>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Set15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(Seth AK, 2015)</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xml:space="preserve">. Functional connectivity aims at describing the statistical dependencies between two variables, where as effective connectivity aims at finding a simplest possible circuit which explains the working of observed data. </w:t>
      </w:r>
    </w:p>
    <w:p w14:paraId="6986B477" w14:textId="6FC63396" w:rsidR="00D826E2" w:rsidRPr="00D826E2" w:rsidRDefault="00D826E2" w:rsidP="00C52DEE">
      <w:pPr>
        <w:rPr>
          <w:rFonts w:ascii="Arial" w:eastAsia="Times New Roman" w:hAnsi="Arial" w:cs="Arial"/>
          <w:color w:val="000000"/>
          <w:lang w:eastAsia="en-IN"/>
        </w:rPr>
      </w:pPr>
      <w:r w:rsidRPr="00D826E2">
        <w:rPr>
          <w:rFonts w:ascii="Arial" w:eastAsia="Times New Roman" w:hAnsi="Arial" w:cs="Arial"/>
          <w:color w:val="000000"/>
          <w:lang w:eastAsia="en-IN"/>
        </w:rPr>
        <w:t>Over the past decade many studies tried to elucidate network connectivity using effective connectivity measures.</w:t>
      </w:r>
      <w:sdt>
        <w:sdtPr>
          <w:rPr>
            <w:rFonts w:ascii="Arial" w:eastAsia="Times New Roman" w:hAnsi="Arial" w:cs="Arial"/>
            <w:color w:val="000000"/>
            <w:lang w:eastAsia="en-IN"/>
          </w:rPr>
          <w:id w:val="478356946"/>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Kor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(Korzeniewska)</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One of the most widely used measures to study effective connectivity is Granger Causality.</w:t>
      </w:r>
      <w:sdt>
        <w:sdtPr>
          <w:rPr>
            <w:rFonts w:ascii="Arial" w:eastAsia="Times New Roman" w:hAnsi="Arial" w:cs="Arial"/>
            <w:color w:val="000000"/>
            <w:lang w:eastAsia="en-IN"/>
          </w:rPr>
          <w:id w:val="1341193531"/>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CWJ69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(Granger, Aug., 1969)</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GC and its extensions help in identifying the linear interactions in the system. However, GC is only well applicable when three prerequisites are met: 1. The interactions between the systems should be approximately linear, 2. Data should have relatively low noise levels</w:t>
      </w:r>
      <w:sdt>
        <w:sdtPr>
          <w:rPr>
            <w:rFonts w:ascii="Arial" w:eastAsia="Times New Roman" w:hAnsi="Arial" w:cs="Arial"/>
            <w:color w:val="000000"/>
            <w:lang w:eastAsia="en-IN"/>
          </w:rPr>
          <w:id w:val="-801998999"/>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Nal07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(Nalatore H, 2007)</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3. Cross talk between the signals has to be low. However, the interactions between the brain signals are usually non-linear. Transfer Entropy is an alternative approach to study effective connections for neuroscience</w:t>
      </w:r>
      <w:sdt>
        <w:sdtPr>
          <w:rPr>
            <w:rFonts w:ascii="Arial" w:eastAsia="Times New Roman" w:hAnsi="Arial" w:cs="Arial"/>
            <w:color w:val="000000"/>
            <w:lang w:eastAsia="en-IN"/>
          </w:rPr>
          <w:id w:val="-1815400058"/>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Gou07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(Gourévitch, 2007)</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xml:space="preserve"> </w:t>
      </w:r>
      <w:sdt>
        <w:sdtPr>
          <w:rPr>
            <w:rFonts w:ascii="Arial" w:eastAsia="Times New Roman" w:hAnsi="Arial" w:cs="Arial"/>
            <w:color w:val="000000"/>
            <w:lang w:eastAsia="en-IN"/>
          </w:rPr>
          <w:id w:val="-1776858182"/>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SSa09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(S. Sabesan, 2009)</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TE is a model free approach based on information theory and can capture non linearities to a great extent.</w:t>
      </w:r>
    </w:p>
    <w:p w14:paraId="6BF503FD" w14:textId="261AC499" w:rsidR="007834C4" w:rsidRPr="00D826E2" w:rsidRDefault="007834C4" w:rsidP="00D826E2">
      <w:pPr>
        <w:pStyle w:val="Heading2"/>
        <w:rPr>
          <w:rFonts w:ascii="Arial" w:eastAsia="Times New Roman" w:hAnsi="Arial" w:cs="Arial"/>
          <w:lang w:eastAsia="en-IN"/>
        </w:rPr>
      </w:pPr>
      <w:r w:rsidRPr="00D826E2">
        <w:rPr>
          <w:rFonts w:ascii="Arial" w:eastAsia="Times New Roman" w:hAnsi="Arial" w:cs="Arial"/>
          <w:lang w:eastAsia="en-IN"/>
        </w:rPr>
        <w:lastRenderedPageBreak/>
        <w:t>Transfer Entropy</w:t>
      </w:r>
    </w:p>
    <w:p w14:paraId="6BF4E3D1" w14:textId="77777777" w:rsidR="00D826E2" w:rsidRPr="00D826E2" w:rsidRDefault="00D826E2" w:rsidP="00D826E2">
      <w:pPr>
        <w:rPr>
          <w:rFonts w:ascii="Arial" w:hAnsi="Arial" w:cs="Arial"/>
          <w:lang w:eastAsia="en-IN"/>
        </w:rPr>
      </w:pPr>
    </w:p>
    <w:p w14:paraId="57494CF5" w14:textId="765A9594" w:rsidR="00EF56D0" w:rsidRPr="00D826E2" w:rsidRDefault="007834C4" w:rsidP="008B43B5">
      <w:pPr>
        <w:rPr>
          <w:rFonts w:ascii="Arial" w:eastAsia="Times New Roman" w:hAnsi="Arial" w:cs="Arial"/>
          <w:color w:val="000000"/>
          <w:lang w:eastAsia="en-IN"/>
        </w:rPr>
      </w:pPr>
      <w:r w:rsidRPr="00D826E2">
        <w:rPr>
          <w:rFonts w:ascii="Arial" w:eastAsia="Times New Roman" w:hAnsi="Arial" w:cs="Arial"/>
          <w:color w:val="000000"/>
          <w:lang w:eastAsia="en-IN"/>
        </w:rPr>
        <w:t xml:space="preserve">Transfer Entropy is a rigorous derivation of Weiner Causality between two time series data </w:t>
      </w:r>
      <w:r w:rsidR="00A22703" w:rsidRPr="00D826E2">
        <w:rPr>
          <w:rFonts w:ascii="Arial" w:eastAsia="Times New Roman" w:hAnsi="Arial" w:cs="Arial"/>
          <w:color w:val="000000"/>
          <w:lang w:eastAsia="en-IN"/>
        </w:rPr>
        <w:t xml:space="preserve">X and Y </w:t>
      </w:r>
      <w:r w:rsidRPr="00D826E2">
        <w:rPr>
          <w:rFonts w:ascii="Arial" w:eastAsia="Times New Roman" w:hAnsi="Arial" w:cs="Arial"/>
          <w:color w:val="000000"/>
          <w:lang w:eastAsia="en-IN"/>
        </w:rPr>
        <w:t>within information theoretic framework proposed by Schreiber</w:t>
      </w:r>
      <w:sdt>
        <w:sdtPr>
          <w:rPr>
            <w:rFonts w:ascii="Arial" w:eastAsia="Times New Roman" w:hAnsi="Arial" w:cs="Arial"/>
            <w:color w:val="000000"/>
            <w:lang w:eastAsia="en-IN"/>
          </w:rPr>
          <w:id w:val="-1347007652"/>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val="en-US" w:eastAsia="en-IN"/>
            </w:rPr>
            <w:instrText xml:space="preserve"> CITATION Sch00 \l 1033 </w:instrText>
          </w:r>
          <w:r w:rsidRPr="00D826E2">
            <w:rPr>
              <w:rFonts w:ascii="Arial" w:eastAsia="Times New Roman" w:hAnsi="Arial" w:cs="Arial"/>
              <w:color w:val="000000"/>
              <w:lang w:eastAsia="en-IN"/>
            </w:rPr>
            <w:fldChar w:fldCharType="separate"/>
          </w:r>
          <w:r w:rsidR="00D826E2" w:rsidRPr="00D826E2">
            <w:rPr>
              <w:rFonts w:ascii="Arial" w:eastAsia="Times New Roman" w:hAnsi="Arial" w:cs="Arial"/>
              <w:noProof/>
              <w:color w:val="000000"/>
              <w:lang w:val="en-US" w:eastAsia="en-IN"/>
            </w:rPr>
            <w:t xml:space="preserve"> (Schreiber, 2000)</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xml:space="preserve">. </w:t>
      </w:r>
      <w:r w:rsidR="00A22703" w:rsidRPr="00D826E2">
        <w:rPr>
          <w:rFonts w:ascii="Arial" w:eastAsia="Times New Roman" w:hAnsi="Arial" w:cs="Arial"/>
          <w:color w:val="000000"/>
          <w:lang w:eastAsia="en-IN"/>
        </w:rPr>
        <w:t xml:space="preserve">We assume that the given time series data can be approximated by a markov process. </w:t>
      </w:r>
      <w:r w:rsidR="008B43B5" w:rsidRPr="00D826E2">
        <w:rPr>
          <w:rFonts w:ascii="Arial" w:eastAsia="Times New Roman" w:hAnsi="Arial" w:cs="Arial"/>
          <w:color w:val="000000"/>
          <w:lang w:eastAsia="en-IN"/>
        </w:rPr>
        <w:t xml:space="preserve">Thus, we reconstruct a state space of a process with embedding dimension d and delay </w:t>
      </w:r>
      <m:oMath>
        <m:r>
          <w:rPr>
            <w:rFonts w:ascii="Cambria Math" w:eastAsia="Times New Roman" w:hAnsi="Cambria Math" w:cs="Arial"/>
            <w:color w:val="000000"/>
            <w:lang w:eastAsia="en-IN"/>
          </w:rPr>
          <m:t>τ</m:t>
        </m:r>
      </m:oMath>
      <w:r w:rsidR="008B43B5" w:rsidRPr="00D826E2">
        <w:rPr>
          <w:rFonts w:ascii="Arial" w:eastAsia="Times New Roman" w:hAnsi="Arial" w:cs="Arial"/>
          <w:color w:val="000000"/>
          <w:lang w:eastAsia="en-IN"/>
        </w:rPr>
        <w:t xml:space="preserve">.  Let the time series be </w:t>
      </w:r>
      <m:oMath>
        <m:r>
          <w:rPr>
            <w:rFonts w:ascii="Cambria Math" w:eastAsia="Times New Roman" w:hAnsi="Cambria Math" w:cs="Arial"/>
            <w:color w:val="000000"/>
            <w:lang w:eastAsia="en-IN"/>
          </w:rPr>
          <m:t>X=</m:t>
        </m:r>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Sub>
        <m:r>
          <w:rPr>
            <w:rFonts w:ascii="Cambria Math" w:eastAsia="Times New Roman" w:hAnsi="Cambria Math" w:cs="Arial"/>
            <w:color w:val="000000"/>
            <w:lang w:eastAsia="en-IN"/>
          </w:rPr>
          <m:t xml:space="preserve"> and Y= </m:t>
        </m:r>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Sub>
      </m:oMath>
      <w:r w:rsidR="001A7B70">
        <w:rPr>
          <w:rFonts w:ascii="Arial" w:eastAsia="Times New Roman" w:hAnsi="Arial" w:cs="Arial"/>
          <w:color w:val="000000"/>
          <w:lang w:eastAsia="en-IN"/>
        </w:rPr>
        <w:t xml:space="preserve"> the delay embedding vector is defined as:</w:t>
      </w:r>
    </w:p>
    <w:p w14:paraId="38EFDF80" w14:textId="3BCE2C21" w:rsidR="00EF56D0" w:rsidRPr="00D826E2" w:rsidRDefault="008B43B5" w:rsidP="008B43B5">
      <w:pPr>
        <w:rPr>
          <w:rFonts w:ascii="Arial" w:eastAsia="Times New Roman" w:hAnsi="Arial" w:cs="Arial"/>
          <w:color w:val="000000"/>
          <w:lang w:eastAsia="en-IN"/>
        </w:rPr>
      </w:pPr>
      <w:r w:rsidRPr="00D826E2">
        <w:rPr>
          <w:rFonts w:ascii="Arial" w:eastAsia="Times New Roman" w:hAnsi="Arial" w:cs="Arial"/>
          <w:color w:val="000000"/>
          <w:lang w:eastAsia="en-IN"/>
        </w:rPr>
        <w:t xml:space="preserve"> </w:t>
      </w:r>
      <m:oMath>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d</m:t>
            </m:r>
          </m:sup>
        </m:sSubSup>
        <m:r>
          <w:rPr>
            <w:rFonts w:ascii="Cambria Math" w:eastAsia="Times New Roman" w:hAnsi="Cambria Math" w:cs="Arial"/>
            <w:color w:val="000000"/>
            <w:lang w:eastAsia="en-IN"/>
          </w:rPr>
          <m:t xml:space="preserve">= </m:t>
        </m:r>
        <m:d>
          <m:dPr>
            <m:ctrlPr>
              <w:rPr>
                <w:rFonts w:ascii="Cambria Math" w:eastAsia="Times New Roman" w:hAnsi="Cambria Math" w:cs="Arial"/>
                <w:i/>
                <w:color w:val="000000"/>
                <w:lang w:eastAsia="en-IN"/>
              </w:rPr>
            </m:ctrlPr>
          </m:dPr>
          <m:e>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Sub>
            <m:r>
              <w:rPr>
                <w:rFonts w:ascii="Cambria Math" w:eastAsia="Times New Roman" w:hAnsi="Cambria Math" w:cs="Arial"/>
                <w:color w:val="000000"/>
                <w:lang w:eastAsia="en-IN"/>
              </w:rPr>
              <m:t>,</m:t>
            </m:r>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 xml:space="preserve">t-τ, </m:t>
                </m:r>
              </m:sub>
            </m:sSub>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t-2τ</m:t>
                </m:r>
              </m:sub>
            </m:sSub>
            <m:r>
              <w:rPr>
                <w:rFonts w:ascii="Cambria Math" w:eastAsia="Times New Roman" w:hAnsi="Cambria Math" w:cs="Arial"/>
                <w:color w:val="000000"/>
                <w:lang w:eastAsia="en-IN"/>
              </w:rPr>
              <m:t>….</m:t>
            </m:r>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d-1</m:t>
                    </m:r>
                  </m:e>
                </m:d>
                <m:r>
                  <w:rPr>
                    <w:rFonts w:ascii="Cambria Math" w:eastAsia="Times New Roman" w:hAnsi="Cambria Math" w:cs="Arial"/>
                    <w:color w:val="000000"/>
                    <w:lang w:eastAsia="en-IN"/>
                  </w:rPr>
                  <m:t>τ</m:t>
                </m:r>
              </m:sub>
            </m:sSub>
          </m:e>
        </m:d>
        <m:r>
          <w:rPr>
            <w:rFonts w:ascii="Cambria Math" w:eastAsia="Times New Roman" w:hAnsi="Cambria Math" w:cs="Arial"/>
            <w:color w:val="000000"/>
            <w:lang w:eastAsia="en-IN"/>
          </w:rPr>
          <m:t xml:space="preserve"> </m:t>
        </m:r>
      </m:oMath>
      <w:r w:rsidRPr="00D826E2">
        <w:rPr>
          <w:rFonts w:ascii="Arial" w:eastAsia="Times New Roman" w:hAnsi="Arial" w:cs="Arial"/>
          <w:color w:val="000000"/>
          <w:lang w:eastAsia="en-IN"/>
        </w:rPr>
        <w:t xml:space="preserve"> and </w:t>
      </w:r>
      <w:r w:rsidR="00EF56D0" w:rsidRPr="00D826E2">
        <w:rPr>
          <w:rFonts w:ascii="Arial" w:eastAsia="Times New Roman" w:hAnsi="Arial" w:cs="Arial"/>
          <w:color w:val="000000"/>
          <w:lang w:eastAsia="en-IN"/>
        </w:rPr>
        <w:t>similarly,</w:t>
      </w:r>
      <w:r w:rsidRPr="00D826E2">
        <w:rPr>
          <w:rFonts w:ascii="Arial" w:eastAsia="Times New Roman" w:hAnsi="Arial" w:cs="Arial"/>
          <w:color w:val="000000"/>
          <w:lang w:eastAsia="en-IN"/>
        </w:rPr>
        <w:t xml:space="preserve"> for </w:t>
      </w:r>
      <m:oMath>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Sub>
      </m:oMath>
      <w:r w:rsidR="00EF56D0" w:rsidRPr="00D826E2">
        <w:rPr>
          <w:rFonts w:ascii="Arial" w:eastAsia="Times New Roman" w:hAnsi="Arial" w:cs="Arial"/>
          <w:color w:val="000000"/>
          <w:lang w:eastAsia="en-IN"/>
        </w:rPr>
        <w:t xml:space="preserve">. </w:t>
      </w:r>
    </w:p>
    <w:p w14:paraId="1DA2B794" w14:textId="52BCBEA7" w:rsidR="00A22703" w:rsidRPr="00D826E2" w:rsidRDefault="00EF56D0" w:rsidP="008B43B5">
      <w:pPr>
        <w:rPr>
          <w:rFonts w:ascii="Arial" w:eastAsia="Times New Roman" w:hAnsi="Arial" w:cs="Arial"/>
          <w:color w:val="000000"/>
          <w:lang w:eastAsia="en-IN"/>
        </w:rPr>
      </w:pPr>
      <w:r w:rsidRPr="00D826E2">
        <w:rPr>
          <w:rFonts w:ascii="Arial" w:eastAsia="Times New Roman" w:hAnsi="Arial" w:cs="Arial"/>
          <w:color w:val="000000"/>
          <w:lang w:eastAsia="en-IN"/>
        </w:rPr>
        <w:t xml:space="preserve">If </w:t>
      </w:r>
      <w:r w:rsidR="00A22703" w:rsidRPr="00D826E2">
        <w:rPr>
          <w:rFonts w:ascii="Arial" w:eastAsia="Times New Roman" w:hAnsi="Arial" w:cs="Arial"/>
          <w:color w:val="000000"/>
          <w:lang w:eastAsia="en-IN"/>
        </w:rPr>
        <w:t xml:space="preserve">dynamics </w:t>
      </w:r>
      <w:r w:rsidRPr="00D826E2">
        <w:rPr>
          <w:rFonts w:ascii="Arial" w:eastAsia="Times New Roman" w:hAnsi="Arial" w:cs="Arial"/>
          <w:color w:val="000000"/>
          <w:lang w:eastAsia="en-IN"/>
        </w:rPr>
        <w:t xml:space="preserve">of Y is independent of </w:t>
      </w:r>
      <w:r w:rsidR="00A22703" w:rsidRPr="00D826E2">
        <w:rPr>
          <w:rFonts w:ascii="Arial" w:eastAsia="Times New Roman" w:hAnsi="Arial" w:cs="Arial"/>
          <w:color w:val="000000"/>
          <w:lang w:eastAsia="en-IN"/>
        </w:rPr>
        <w:t>past of X</w:t>
      </w:r>
      <w:r w:rsidRPr="00D826E2">
        <w:rPr>
          <w:rFonts w:ascii="Arial" w:eastAsia="Times New Roman" w:hAnsi="Arial" w:cs="Arial"/>
          <w:color w:val="000000"/>
          <w:lang w:eastAsia="en-IN"/>
        </w:rPr>
        <w:t xml:space="preserve"> then,</w:t>
      </w:r>
      <w:r w:rsidR="00A22703" w:rsidRPr="00D826E2">
        <w:rPr>
          <w:rFonts w:ascii="Arial" w:eastAsia="Times New Roman" w:hAnsi="Arial" w:cs="Arial"/>
          <w:color w:val="000000"/>
          <w:lang w:eastAsia="en-IN"/>
        </w:rPr>
        <w:t xml:space="preserve"> </w:t>
      </w:r>
      <m:oMath>
        <m:r>
          <w:rPr>
            <w:rFonts w:ascii="Cambria Math" w:eastAsia="Times New Roman" w:hAnsi="Cambria Math" w:cs="Arial"/>
            <w:color w:val="000000"/>
            <w:lang w:eastAsia="en-IN"/>
          </w:rPr>
          <m:t>p</m:t>
        </m:r>
        <m:d>
          <m:dPr>
            <m:ctrlPr>
              <w:rPr>
                <w:rFonts w:ascii="Cambria Math" w:eastAsia="Times New Roman" w:hAnsi="Cambria Math" w:cs="Arial"/>
                <w:i/>
                <w:color w:val="000000"/>
                <w:lang w:eastAsia="en-IN"/>
              </w:rPr>
            </m:ctrlPr>
          </m:dPr>
          <m:e>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e>
          <m:e>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m</m:t>
                </m:r>
              </m:sup>
            </m:sSubSup>
          </m:e>
        </m:d>
        <m:r>
          <w:rPr>
            <w:rFonts w:ascii="Cambria Math" w:eastAsia="Times New Roman" w:hAnsi="Cambria Math" w:cs="Arial"/>
            <w:color w:val="000000"/>
            <w:lang w:eastAsia="en-IN"/>
          </w:rPr>
          <m:t>=p</m:t>
        </m:r>
        <m:d>
          <m:dPr>
            <m:ctrlPr>
              <w:rPr>
                <w:rFonts w:ascii="Cambria Math" w:eastAsia="Times New Roman" w:hAnsi="Cambria Math" w:cs="Arial"/>
                <w:i/>
                <w:color w:val="000000"/>
                <w:lang w:eastAsia="en-IN"/>
              </w:rPr>
            </m:ctrlPr>
          </m:dPr>
          <m:e>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e>
          <m:e>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e>
        </m:d>
        <m:r>
          <w:rPr>
            <w:rFonts w:ascii="Cambria Math" w:eastAsia="Times New Roman" w:hAnsi="Cambria Math" w:cs="Arial"/>
            <w:color w:val="000000"/>
            <w:lang w:eastAsia="en-IN"/>
          </w:rPr>
          <m:t xml:space="preserve">      (1)</m:t>
        </m:r>
      </m:oMath>
    </w:p>
    <w:p w14:paraId="73AB3AA4" w14:textId="5C042814" w:rsidR="00A22703" w:rsidRPr="00D826E2" w:rsidRDefault="00A22703" w:rsidP="008B43B5">
      <w:pPr>
        <w:rPr>
          <w:rFonts w:ascii="Arial" w:eastAsia="Times New Roman" w:hAnsi="Arial" w:cs="Arial"/>
          <w:color w:val="000000"/>
          <w:lang w:eastAsia="en-IN"/>
        </w:rPr>
      </w:pPr>
      <w:r w:rsidRPr="00D826E2">
        <w:rPr>
          <w:rFonts w:ascii="Arial" w:eastAsia="Times New Roman" w:hAnsi="Arial" w:cs="Arial"/>
          <w:color w:val="000000"/>
          <w:lang w:eastAsia="en-IN"/>
        </w:rPr>
        <w:t>To measure the deviation from this criterion Schreiber measured KL divergence on either side of (1). Thus, transfer entropy is given as:</w:t>
      </w:r>
    </w:p>
    <w:p w14:paraId="26826946" w14:textId="2CC18869" w:rsidR="00A22703" w:rsidRPr="00D826E2" w:rsidRDefault="00A22703" w:rsidP="008B43B5">
      <w:pPr>
        <w:rPr>
          <w:rFonts w:ascii="Arial" w:eastAsia="Times New Roman" w:hAnsi="Arial" w:cs="Arial"/>
          <w:color w:val="000000"/>
          <w:lang w:eastAsia="en-IN"/>
        </w:rPr>
      </w:pPr>
      <m:oMathPara>
        <m:oMath>
          <m:r>
            <w:rPr>
              <w:rFonts w:ascii="Cambria Math" w:eastAsia="Times New Roman" w:hAnsi="Cambria Math" w:cs="Arial"/>
              <w:color w:val="000000"/>
              <w:lang w:eastAsia="en-IN"/>
            </w:rPr>
            <m:t>TE</m:t>
          </m:r>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X→Y</m:t>
              </m:r>
            </m:e>
          </m:d>
          <m:r>
            <w:rPr>
              <w:rFonts w:ascii="Cambria Math" w:eastAsia="Times New Roman" w:hAnsi="Cambria Math" w:cs="Arial"/>
              <w:color w:val="000000"/>
              <w:lang w:eastAsia="en-IN"/>
            </w:rPr>
            <m:t xml:space="preserve">= </m:t>
          </m:r>
          <m:nary>
            <m:naryPr>
              <m:chr m:val="∑"/>
              <m:limLoc m:val="subSup"/>
              <m:ctrlPr>
                <w:rPr>
                  <w:rFonts w:ascii="Cambria Math" w:eastAsia="Times New Roman" w:hAnsi="Cambria Math" w:cs="Arial"/>
                  <w:i/>
                  <w:color w:val="000000"/>
                  <w:lang w:eastAsia="en-IN"/>
                </w:rPr>
              </m:ctrlPr>
            </m:naryPr>
            <m:sub>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m</m:t>
                  </m:r>
                </m:sup>
              </m:sSubSup>
            </m:sub>
            <m:sup/>
            <m:e>
              <m:r>
                <w:rPr>
                  <w:rFonts w:ascii="Cambria Math" w:eastAsia="Times New Roman" w:hAnsi="Cambria Math" w:cs="Arial"/>
                  <w:color w:val="000000"/>
                  <w:lang w:eastAsia="en-IN"/>
                </w:rPr>
                <m:t>p</m:t>
              </m:r>
              <m:d>
                <m:dPr>
                  <m:ctrlPr>
                    <w:rPr>
                      <w:rFonts w:ascii="Cambria Math" w:eastAsia="Times New Roman" w:hAnsi="Cambria Math" w:cs="Arial"/>
                      <w:i/>
                      <w:color w:val="000000"/>
                      <w:lang w:eastAsia="en-IN"/>
                    </w:rPr>
                  </m:ctrlPr>
                </m:dPr>
                <m:e>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m</m:t>
                      </m:r>
                    </m:sup>
                  </m:sSubSup>
                </m:e>
              </m:d>
              <m:r>
                <m:rPr>
                  <m:sty m:val="p"/>
                </m:rPr>
                <w:rPr>
                  <w:rFonts w:ascii="Cambria Math" w:eastAsia="Times New Roman" w:hAnsi="Cambria Math" w:cs="Arial"/>
                  <w:color w:val="000000"/>
                  <w:lang w:eastAsia="en-IN"/>
                </w:rPr>
                <m:t>log⁡</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p</m:t>
                  </m:r>
                  <m:d>
                    <m:dPr>
                      <m:ctrlPr>
                        <w:rPr>
                          <w:rFonts w:ascii="Cambria Math" w:eastAsia="Times New Roman" w:hAnsi="Cambria Math" w:cs="Arial"/>
                          <w:i/>
                          <w:color w:val="000000"/>
                          <w:lang w:eastAsia="en-IN"/>
                        </w:rPr>
                      </m:ctrlPr>
                    </m:dPr>
                    <m:e>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x</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m</m:t>
                          </m:r>
                        </m:sup>
                      </m:sSubSup>
                    </m:e>
                  </m:d>
                </m:num>
                <m:den>
                  <m:r>
                    <w:rPr>
                      <w:rFonts w:ascii="Cambria Math" w:eastAsia="Times New Roman" w:hAnsi="Cambria Math" w:cs="Arial"/>
                      <w:color w:val="000000"/>
                      <w:lang w:eastAsia="en-IN"/>
                    </w:rPr>
                    <m:t>p(</m:t>
                  </m:r>
                  <m:sSub>
                    <m:sSubPr>
                      <m:ctrlPr>
                        <w:rPr>
                          <w:rFonts w:ascii="Cambria Math" w:eastAsia="Times New Roman" w:hAnsi="Cambria Math" w:cs="Arial"/>
                          <w:i/>
                          <w:color w:val="000000"/>
                          <w:lang w:eastAsia="en-IN"/>
                        </w:rPr>
                      </m:ctrlPr>
                    </m:sSub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t+1</m:t>
                      </m:r>
                    </m:sub>
                  </m:sSub>
                  <m:r>
                    <w:rPr>
                      <w:rFonts w:ascii="Cambria Math" w:eastAsia="Times New Roman" w:hAnsi="Cambria Math" w:cs="Arial"/>
                      <w:color w:val="000000"/>
                      <w:lang w:eastAsia="en-IN"/>
                    </w:rPr>
                    <m:t>|</m:t>
                  </m:r>
                  <m:sSubSup>
                    <m:sSubSupPr>
                      <m:ctrlPr>
                        <w:rPr>
                          <w:rFonts w:ascii="Cambria Math" w:eastAsia="Times New Roman" w:hAnsi="Cambria Math" w:cs="Arial"/>
                          <w:i/>
                          <w:color w:val="000000"/>
                          <w:lang w:eastAsia="en-IN"/>
                        </w:rPr>
                      </m:ctrlPr>
                    </m:sSubSupPr>
                    <m:e>
                      <m:r>
                        <w:rPr>
                          <w:rFonts w:ascii="Cambria Math" w:eastAsia="Times New Roman" w:hAnsi="Cambria Math" w:cs="Arial"/>
                          <w:color w:val="000000"/>
                          <w:lang w:eastAsia="en-IN"/>
                        </w:rPr>
                        <m:t>y</m:t>
                      </m:r>
                    </m:e>
                    <m:sub>
                      <m:r>
                        <w:rPr>
                          <w:rFonts w:ascii="Cambria Math" w:eastAsia="Times New Roman" w:hAnsi="Cambria Math" w:cs="Arial"/>
                          <w:color w:val="000000"/>
                          <w:lang w:eastAsia="en-IN"/>
                        </w:rPr>
                        <m:t>t</m:t>
                      </m:r>
                    </m:sub>
                    <m:sup>
                      <m:r>
                        <w:rPr>
                          <w:rFonts w:ascii="Cambria Math" w:eastAsia="Times New Roman" w:hAnsi="Cambria Math" w:cs="Arial"/>
                          <w:color w:val="000000"/>
                          <w:lang w:eastAsia="en-IN"/>
                        </w:rPr>
                        <m:t>n</m:t>
                      </m:r>
                    </m:sup>
                  </m:sSubSup>
                  <m:r>
                    <w:rPr>
                      <w:rFonts w:ascii="Cambria Math" w:eastAsia="Times New Roman" w:hAnsi="Cambria Math" w:cs="Arial"/>
                      <w:color w:val="000000"/>
                      <w:lang w:eastAsia="en-IN"/>
                    </w:rPr>
                    <m:t>)</m:t>
                  </m:r>
                </m:den>
              </m:f>
              <m:r>
                <w:rPr>
                  <w:rFonts w:ascii="Cambria Math" w:eastAsia="Times New Roman" w:hAnsi="Cambria Math" w:cs="Arial"/>
                  <w:color w:val="000000"/>
                  <w:lang w:eastAsia="en-IN"/>
                </w:rPr>
                <m:t>)</m:t>
              </m:r>
            </m:e>
          </m:nary>
        </m:oMath>
      </m:oMathPara>
    </w:p>
    <w:p w14:paraId="0299997E" w14:textId="179AED0D" w:rsidR="00D826E2" w:rsidRPr="00D826E2" w:rsidRDefault="00D826E2" w:rsidP="008B43B5">
      <w:pPr>
        <w:rPr>
          <w:rFonts w:ascii="Arial" w:eastAsia="Times New Roman" w:hAnsi="Arial" w:cs="Arial"/>
          <w:color w:val="000000"/>
          <w:lang w:eastAsia="en-IN"/>
        </w:rPr>
      </w:pPr>
      <w:r w:rsidRPr="00D826E2">
        <w:rPr>
          <w:rFonts w:ascii="Arial" w:eastAsia="Times New Roman" w:hAnsi="Arial" w:cs="Arial"/>
          <w:color w:val="000000"/>
          <w:lang w:eastAsia="en-IN"/>
        </w:rPr>
        <w:t xml:space="preserve">The Transfer Entropy is model free and asymmetric i.e </w:t>
      </w:r>
      <m:oMath>
        <m:r>
          <w:rPr>
            <w:rFonts w:ascii="Cambria Math" w:eastAsia="Times New Roman" w:hAnsi="Cambria Math" w:cs="Arial"/>
            <w:color w:val="000000"/>
            <w:lang w:eastAsia="en-IN"/>
          </w:rPr>
          <m:t>TE</m:t>
        </m:r>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X→Y</m:t>
            </m:r>
          </m:e>
        </m:d>
      </m:oMath>
      <w:r w:rsidRPr="00D826E2">
        <w:rPr>
          <w:rFonts w:ascii="Arial" w:eastAsia="Times New Roman" w:hAnsi="Arial" w:cs="Arial"/>
          <w:color w:val="000000"/>
          <w:lang w:eastAsia="en-IN"/>
        </w:rPr>
        <w:t xml:space="preserve"> is not equal to </w:t>
      </w:r>
      <m:oMath>
        <m:r>
          <w:rPr>
            <w:rFonts w:ascii="Cambria Math" w:eastAsia="Times New Roman" w:hAnsi="Cambria Math" w:cs="Arial"/>
            <w:color w:val="000000"/>
            <w:lang w:eastAsia="en-IN"/>
          </w:rPr>
          <m:t>TE</m:t>
        </m:r>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Y→X</m:t>
            </m:r>
          </m:e>
        </m:d>
      </m:oMath>
      <w:r w:rsidRPr="00D826E2">
        <w:rPr>
          <w:rFonts w:ascii="Arial" w:eastAsia="Times New Roman" w:hAnsi="Arial" w:cs="Arial"/>
          <w:color w:val="000000"/>
          <w:lang w:eastAsia="en-IN"/>
        </w:rPr>
        <w:t xml:space="preserve"> and handles non linearity by definition.</w:t>
      </w:r>
    </w:p>
    <w:p w14:paraId="3C9AB22B" w14:textId="1409ACAD" w:rsidR="00D826E2" w:rsidRPr="00D826E2" w:rsidRDefault="00D826E2" w:rsidP="008B43B5">
      <w:pPr>
        <w:rPr>
          <w:rFonts w:ascii="Arial" w:eastAsia="Times New Roman" w:hAnsi="Arial" w:cs="Arial"/>
          <w:color w:val="000000"/>
          <w:lang w:eastAsia="en-IN"/>
        </w:rPr>
      </w:pPr>
      <w:r w:rsidRPr="00D826E2">
        <w:rPr>
          <w:rFonts w:ascii="Arial" w:eastAsia="Times New Roman" w:hAnsi="Arial" w:cs="Arial"/>
          <w:color w:val="000000"/>
          <w:lang w:eastAsia="en-IN"/>
        </w:rPr>
        <w:t>The TE is estimated using IDTxl</w:t>
      </w:r>
      <w:sdt>
        <w:sdtPr>
          <w:rPr>
            <w:rFonts w:ascii="Arial" w:eastAsia="Times New Roman" w:hAnsi="Arial" w:cs="Arial"/>
            <w:color w:val="000000"/>
            <w:lang w:eastAsia="en-IN"/>
          </w:rPr>
          <w:id w:val="127362888"/>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PWo18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(P. Wollstadt, 2018)</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xml:space="preserve"> bivariate analysis. Specifically, the bivariate analysis uses a greedy algorithm to identify the samples in the source’s past which contribute significantly to the current value of the target. The estimation depends on the hyperparameter ‘max lag sources’ which defines the search space for candidate selection. The hyperparameter is set by analysing the autocorrelation as well as mutual information (between time series and its delayed version) plots. The tau (delay between the samples) is set as 2</w:t>
      </w:r>
      <w:r w:rsidR="001A7B70">
        <w:rPr>
          <w:rFonts w:ascii="Arial" w:eastAsia="Times New Roman" w:hAnsi="Arial" w:cs="Arial"/>
          <w:color w:val="000000"/>
          <w:lang w:eastAsia="en-IN"/>
        </w:rPr>
        <w:t>, which is greater than 1.5</w:t>
      </w:r>
      <w:sdt>
        <w:sdtPr>
          <w:rPr>
            <w:rFonts w:ascii="Arial" w:eastAsia="Times New Roman" w:hAnsi="Arial" w:cs="Arial"/>
            <w:color w:val="000000"/>
            <w:lang w:eastAsia="en-IN"/>
          </w:rPr>
          <w:id w:val="1708684900"/>
          <w:citation/>
        </w:sdtPr>
        <w:sdtEndPr/>
        <w:sdtContent>
          <w:r w:rsidR="001A7B70">
            <w:rPr>
              <w:rFonts w:ascii="Arial" w:eastAsia="Times New Roman" w:hAnsi="Arial" w:cs="Arial"/>
              <w:color w:val="000000"/>
              <w:lang w:eastAsia="en-IN"/>
            </w:rPr>
            <w:fldChar w:fldCharType="begin"/>
          </w:r>
          <w:r w:rsidR="001A7B70">
            <w:rPr>
              <w:rFonts w:ascii="Arial" w:eastAsia="Times New Roman" w:hAnsi="Arial" w:cs="Arial"/>
              <w:color w:val="000000"/>
              <w:lang w:eastAsia="en-IN"/>
            </w:rPr>
            <w:instrText xml:space="preserve"> CITATION Vic11 \l 16393 </w:instrText>
          </w:r>
          <w:r w:rsidR="001A7B70">
            <w:rPr>
              <w:rFonts w:ascii="Arial" w:eastAsia="Times New Roman" w:hAnsi="Arial" w:cs="Arial"/>
              <w:color w:val="000000"/>
              <w:lang w:eastAsia="en-IN"/>
            </w:rPr>
            <w:fldChar w:fldCharType="separate"/>
          </w:r>
          <w:r w:rsidR="001A7B70">
            <w:rPr>
              <w:rFonts w:ascii="Arial" w:eastAsia="Times New Roman" w:hAnsi="Arial" w:cs="Arial"/>
              <w:noProof/>
              <w:color w:val="000000"/>
              <w:lang w:eastAsia="en-IN"/>
            </w:rPr>
            <w:t xml:space="preserve"> </w:t>
          </w:r>
          <w:r w:rsidR="001A7B70" w:rsidRPr="001A7B70">
            <w:rPr>
              <w:rFonts w:ascii="Arial" w:eastAsia="Times New Roman" w:hAnsi="Arial" w:cs="Arial"/>
              <w:noProof/>
              <w:color w:val="000000"/>
              <w:lang w:eastAsia="en-IN"/>
            </w:rPr>
            <w:t>(Vicente R, 2011)</w:t>
          </w:r>
          <w:r w:rsidR="001A7B70">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The search space for both source as well as target are taken to be same.</w:t>
      </w:r>
    </w:p>
    <w:p w14:paraId="4F090E30" w14:textId="2CD4B8A5" w:rsidR="00D826E2" w:rsidRPr="00D826E2" w:rsidRDefault="00D826E2" w:rsidP="00D826E2">
      <w:pPr>
        <w:pStyle w:val="Heading2"/>
        <w:rPr>
          <w:rFonts w:ascii="Arial" w:eastAsia="Times New Roman" w:hAnsi="Arial" w:cs="Arial"/>
          <w:lang w:eastAsia="en-IN"/>
        </w:rPr>
      </w:pPr>
      <w:r w:rsidRPr="00D826E2">
        <w:rPr>
          <w:rFonts w:ascii="Arial" w:eastAsia="Times New Roman" w:hAnsi="Arial" w:cs="Arial"/>
          <w:lang w:eastAsia="en-IN"/>
        </w:rPr>
        <w:t>Granger Causality</w:t>
      </w:r>
    </w:p>
    <w:p w14:paraId="77BC652F" w14:textId="77777777" w:rsidR="00D826E2" w:rsidRPr="00D826E2" w:rsidRDefault="00D826E2" w:rsidP="00D826E2">
      <w:pPr>
        <w:rPr>
          <w:rFonts w:ascii="Arial" w:hAnsi="Arial" w:cs="Arial"/>
          <w:lang w:eastAsia="en-IN"/>
        </w:rPr>
      </w:pPr>
    </w:p>
    <w:p w14:paraId="7172CA8F" w14:textId="600E36C3" w:rsidR="00D826E2" w:rsidRPr="00D826E2" w:rsidRDefault="00D826E2" w:rsidP="008B43B5">
      <w:pPr>
        <w:rPr>
          <w:rFonts w:ascii="Arial" w:eastAsia="Times New Roman" w:hAnsi="Arial" w:cs="Arial"/>
          <w:color w:val="000000"/>
          <w:lang w:eastAsia="en-IN"/>
        </w:rPr>
      </w:pPr>
      <w:r w:rsidRPr="00D826E2">
        <w:rPr>
          <w:rFonts w:ascii="Arial" w:eastAsia="Times New Roman" w:hAnsi="Arial" w:cs="Arial"/>
          <w:color w:val="000000"/>
          <w:lang w:eastAsia="en-IN"/>
        </w:rPr>
        <w:t>Granger Causality is a powerful metric to analyse functional interactions from time series data.</w:t>
      </w:r>
      <w:sdt>
        <w:sdtPr>
          <w:rPr>
            <w:rFonts w:ascii="Arial" w:eastAsia="Times New Roman" w:hAnsi="Arial" w:cs="Arial"/>
            <w:color w:val="000000"/>
            <w:lang w:eastAsia="en-IN"/>
          </w:rPr>
          <w:id w:val="-1873373970"/>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Set15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(Seth AK, 2015)</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G - Causality is based on a simple idea that causes both precede and help predict their effects. G – Causality is estimated by comparing two VAR models. Let X, Y, Z be the time series data and we are interested to measure the information flow between X and Y. First a full VAR model is jointly estimated for all the variables and corresponding prediction errors are calculated. A reduced VAR model is estimated using only (Y, Z) and corresponding errors are estimated. If the prediction error of Y using full regression is considerably low when compared to error in reduced VAR, then X G – Causes Y.</w:t>
      </w:r>
    </w:p>
    <w:p w14:paraId="403DAF01" w14:textId="77777777" w:rsidR="00D826E2" w:rsidRPr="00D826E2" w:rsidRDefault="00D826E2" w:rsidP="008B43B5">
      <w:pPr>
        <w:rPr>
          <w:rFonts w:ascii="Arial" w:eastAsia="Times New Roman" w:hAnsi="Arial" w:cs="Arial"/>
          <w:color w:val="000000"/>
          <w:lang w:eastAsia="en-IN"/>
        </w:rPr>
      </w:pPr>
    </w:p>
    <w:p w14:paraId="04E34877" w14:textId="016A0787" w:rsidR="00A22703" w:rsidRPr="00D826E2" w:rsidRDefault="00D826E2" w:rsidP="008B43B5">
      <w:pPr>
        <w:rPr>
          <w:rFonts w:ascii="Arial" w:eastAsia="Times New Roman" w:hAnsi="Arial" w:cs="Arial"/>
          <w:color w:val="000000"/>
          <w:lang w:eastAsia="en-IN"/>
        </w:rPr>
      </w:pPr>
      <w:r w:rsidRPr="00D826E2">
        <w:rPr>
          <w:rFonts w:ascii="Arial" w:eastAsia="Times New Roman" w:hAnsi="Arial" w:cs="Arial"/>
          <w:color w:val="000000"/>
          <w:lang w:eastAsia="en-IN"/>
        </w:rPr>
        <w:t>The Granger Causality is estimated using MVGC toolbox.</w:t>
      </w:r>
      <w:sdt>
        <w:sdtPr>
          <w:rPr>
            <w:rFonts w:ascii="Arial" w:eastAsia="Times New Roman" w:hAnsi="Arial" w:cs="Arial"/>
            <w:color w:val="000000"/>
            <w:lang w:eastAsia="en-IN"/>
          </w:rPr>
          <w:id w:val="382222310"/>
          <w:citation/>
        </w:sdtPr>
        <w:sdtEndPr/>
        <w:sdtContent>
          <w:r w:rsidRPr="00D826E2">
            <w:rPr>
              <w:rFonts w:ascii="Arial" w:eastAsia="Times New Roman" w:hAnsi="Arial" w:cs="Arial"/>
              <w:color w:val="000000"/>
              <w:lang w:eastAsia="en-IN"/>
            </w:rPr>
            <w:fldChar w:fldCharType="begin"/>
          </w:r>
          <w:r w:rsidRPr="00D826E2">
            <w:rPr>
              <w:rFonts w:ascii="Arial" w:eastAsia="Times New Roman" w:hAnsi="Arial" w:cs="Arial"/>
              <w:color w:val="000000"/>
              <w:lang w:eastAsia="en-IN"/>
            </w:rPr>
            <w:instrText xml:space="preserve"> CITATION Bar14 \l 16393 </w:instrText>
          </w:r>
          <w:r w:rsidRPr="00D826E2">
            <w:rPr>
              <w:rFonts w:ascii="Arial" w:eastAsia="Times New Roman" w:hAnsi="Arial" w:cs="Arial"/>
              <w:color w:val="000000"/>
              <w:lang w:eastAsia="en-IN"/>
            </w:rPr>
            <w:fldChar w:fldCharType="separate"/>
          </w:r>
          <w:r w:rsidRPr="00D826E2">
            <w:rPr>
              <w:rFonts w:ascii="Arial" w:eastAsia="Times New Roman" w:hAnsi="Arial" w:cs="Arial"/>
              <w:noProof/>
              <w:color w:val="000000"/>
              <w:lang w:eastAsia="en-IN"/>
            </w:rPr>
            <w:t xml:space="preserve"> (Barnett L, 2014)</w:t>
          </w:r>
          <w:r w:rsidRPr="00D826E2">
            <w:rPr>
              <w:rFonts w:ascii="Arial" w:eastAsia="Times New Roman" w:hAnsi="Arial" w:cs="Arial"/>
              <w:color w:val="000000"/>
              <w:lang w:eastAsia="en-IN"/>
            </w:rPr>
            <w:fldChar w:fldCharType="end"/>
          </w:r>
        </w:sdtContent>
      </w:sdt>
      <w:r w:rsidRPr="00D826E2">
        <w:rPr>
          <w:rFonts w:ascii="Arial" w:eastAsia="Times New Roman" w:hAnsi="Arial" w:cs="Arial"/>
          <w:color w:val="000000"/>
          <w:lang w:eastAsia="en-IN"/>
        </w:rPr>
        <w:t xml:space="preserve">. The ‘VAR’ </w:t>
      </w:r>
      <w:r w:rsidR="00A8160C">
        <w:rPr>
          <w:rFonts w:ascii="Arial" w:eastAsia="Times New Roman" w:hAnsi="Arial" w:cs="Arial"/>
          <w:color w:val="000000"/>
          <w:lang w:eastAsia="en-IN"/>
        </w:rPr>
        <w:t xml:space="preserve">regression </w:t>
      </w:r>
      <w:r w:rsidRPr="00D826E2">
        <w:rPr>
          <w:rFonts w:ascii="Arial" w:eastAsia="Times New Roman" w:hAnsi="Arial" w:cs="Arial"/>
          <w:color w:val="000000"/>
          <w:lang w:eastAsia="en-IN"/>
        </w:rPr>
        <w:t>model is estimated using ‘OLS‘ method and information criteria is extracted using  ‘LWR‘ mode. Model order is estimated using ‘AIC’ criteria. Alpha is set to be 0.05 for significance tests and ‘FDR’ is used for multiple hypothesis correction.</w:t>
      </w:r>
    </w:p>
    <w:p w14:paraId="6FD24A31" w14:textId="64EC5E69" w:rsidR="008B43B5" w:rsidRDefault="008B43B5" w:rsidP="00C52DEE">
      <w:pPr>
        <w:rPr>
          <w:rFonts w:ascii="Arial" w:eastAsia="Times New Roman" w:hAnsi="Arial" w:cs="Arial"/>
          <w:color w:val="000000"/>
          <w:lang w:eastAsia="en-IN"/>
        </w:rPr>
      </w:pPr>
    </w:p>
    <w:p w14:paraId="5AEED216" w14:textId="77777777" w:rsidR="00D826E2" w:rsidRPr="00D826E2" w:rsidRDefault="00D826E2" w:rsidP="00C52DEE">
      <w:pPr>
        <w:rPr>
          <w:rFonts w:ascii="Arial" w:eastAsia="Times New Roman" w:hAnsi="Arial" w:cs="Arial"/>
          <w:color w:val="000000"/>
          <w:lang w:eastAsia="en-IN"/>
        </w:rPr>
      </w:pPr>
    </w:p>
    <w:p w14:paraId="156D7C9D" w14:textId="24524850" w:rsidR="00D826E2" w:rsidRPr="00D826E2" w:rsidRDefault="00C52DEE" w:rsidP="00D826E2">
      <w:pPr>
        <w:pStyle w:val="Heading1"/>
        <w:rPr>
          <w:rFonts w:ascii="Arial" w:eastAsia="Times New Roman" w:hAnsi="Arial" w:cs="Arial"/>
          <w:lang w:eastAsia="en-IN"/>
        </w:rPr>
      </w:pPr>
      <w:r w:rsidRPr="00D826E2">
        <w:rPr>
          <w:rFonts w:ascii="Arial" w:eastAsia="Times New Roman" w:hAnsi="Arial" w:cs="Arial"/>
          <w:lang w:eastAsia="en-IN"/>
        </w:rPr>
        <w:lastRenderedPageBreak/>
        <w:t>Methods</w:t>
      </w:r>
    </w:p>
    <w:p w14:paraId="2BBFA94B" w14:textId="4F5412D8" w:rsidR="00C52DEE" w:rsidRPr="00D826E2" w:rsidRDefault="00C52DEE" w:rsidP="00C52DEE">
      <w:pPr>
        <w:rPr>
          <w:rFonts w:ascii="Arial" w:hAnsi="Arial" w:cs="Arial"/>
          <w:b/>
          <w:bCs/>
        </w:rPr>
      </w:pPr>
      <w:r w:rsidRPr="00D826E2">
        <w:rPr>
          <w:rStyle w:val="Heading2Char"/>
          <w:rFonts w:ascii="Arial" w:hAnsi="Arial" w:cs="Arial"/>
        </w:rPr>
        <w:t>Effective Connectivity using Partial Directed Coherence</w:t>
      </w:r>
      <w:sdt>
        <w:sdtPr>
          <w:rPr>
            <w:rFonts w:ascii="Arial" w:eastAsia="Times New Roman" w:hAnsi="Arial" w:cs="Arial"/>
            <w:b/>
            <w:bCs/>
            <w:color w:val="000000"/>
            <w:lang w:eastAsia="en-IN"/>
          </w:rPr>
          <w:id w:val="866416188"/>
          <w:citation/>
        </w:sdtPr>
        <w:sdtEndPr/>
        <w:sdtContent>
          <w:r w:rsidR="00D826E2" w:rsidRPr="00D826E2">
            <w:rPr>
              <w:rFonts w:ascii="Arial" w:eastAsia="Times New Roman" w:hAnsi="Arial" w:cs="Arial"/>
              <w:b/>
              <w:bCs/>
              <w:color w:val="000000"/>
              <w:lang w:eastAsia="en-IN"/>
            </w:rPr>
            <w:fldChar w:fldCharType="begin"/>
          </w:r>
          <w:r w:rsidR="00D826E2" w:rsidRPr="00D826E2">
            <w:rPr>
              <w:rFonts w:ascii="Arial" w:eastAsia="Times New Roman" w:hAnsi="Arial" w:cs="Arial"/>
              <w:b/>
              <w:bCs/>
              <w:color w:val="000000"/>
              <w:lang w:eastAsia="en-IN"/>
            </w:rPr>
            <w:instrText xml:space="preserve"> CITATION Lia16 \l 16393 </w:instrText>
          </w:r>
          <w:r w:rsidR="00D826E2" w:rsidRPr="00D826E2">
            <w:rPr>
              <w:rFonts w:ascii="Arial" w:eastAsia="Times New Roman" w:hAnsi="Arial" w:cs="Arial"/>
              <w:b/>
              <w:bCs/>
              <w:color w:val="000000"/>
              <w:lang w:eastAsia="en-IN"/>
            </w:rPr>
            <w:fldChar w:fldCharType="separate"/>
          </w:r>
          <w:r w:rsidR="00D826E2" w:rsidRPr="00D826E2">
            <w:rPr>
              <w:rFonts w:ascii="Arial" w:eastAsia="Times New Roman" w:hAnsi="Arial" w:cs="Arial"/>
              <w:b/>
              <w:bCs/>
              <w:noProof/>
              <w:color w:val="000000"/>
              <w:lang w:eastAsia="en-IN"/>
            </w:rPr>
            <w:t xml:space="preserve"> </w:t>
          </w:r>
          <w:r w:rsidR="00D826E2" w:rsidRPr="00D826E2">
            <w:rPr>
              <w:rFonts w:ascii="Arial" w:eastAsia="Times New Roman" w:hAnsi="Arial" w:cs="Arial"/>
              <w:noProof/>
              <w:color w:val="000000"/>
              <w:lang w:eastAsia="en-IN"/>
            </w:rPr>
            <w:t>(Liang, 2016)</w:t>
          </w:r>
          <w:r w:rsidR="00D826E2" w:rsidRPr="00D826E2">
            <w:rPr>
              <w:rFonts w:ascii="Arial" w:eastAsia="Times New Roman" w:hAnsi="Arial" w:cs="Arial"/>
              <w:b/>
              <w:bCs/>
              <w:color w:val="000000"/>
              <w:lang w:eastAsia="en-IN"/>
            </w:rPr>
            <w:fldChar w:fldCharType="end"/>
          </w:r>
        </w:sdtContent>
      </w:sdt>
    </w:p>
    <w:p w14:paraId="0CE530CC" w14:textId="0D4B5B3B" w:rsidR="00935C24" w:rsidRPr="00D826E2" w:rsidRDefault="00935C24" w:rsidP="00935C24">
      <w:pPr>
        <w:autoSpaceDE w:val="0"/>
        <w:autoSpaceDN w:val="0"/>
        <w:adjustRightInd w:val="0"/>
        <w:spacing w:after="0" w:line="240" w:lineRule="auto"/>
        <w:rPr>
          <w:rFonts w:ascii="Arial" w:hAnsi="Arial" w:cs="Arial"/>
        </w:rPr>
      </w:pPr>
      <w:r w:rsidRPr="00D826E2">
        <w:rPr>
          <w:rFonts w:ascii="Arial" w:hAnsi="Arial" w:cs="Arial"/>
        </w:rPr>
        <w:t>The main challenge of detecting effective connectivity is that the measured signals have power spectra peaks in different frequency bands. To solve this, Multivariate Empirical Mode Decomposition is utilized to decompose a multi-channel signal into a set of oscillatory signals known as Intrinsic mode functions</w:t>
      </w:r>
      <w:r w:rsidR="00A8160C">
        <w:rPr>
          <w:rFonts w:ascii="Arial" w:hAnsi="Arial" w:cs="Arial"/>
        </w:rPr>
        <w:t xml:space="preserve"> (IMFs)</w:t>
      </w:r>
      <w:r w:rsidRPr="00D826E2">
        <w:rPr>
          <w:rFonts w:ascii="Arial" w:hAnsi="Arial" w:cs="Arial"/>
        </w:rPr>
        <w:t>. Due to precise separation of co-existing time scales, IMFs associated with diverse frequency bands can be used to investigate a causal effect between the signals.</w:t>
      </w:r>
    </w:p>
    <w:p w14:paraId="243980E1" w14:textId="77777777" w:rsidR="00935C24" w:rsidRPr="00D826E2" w:rsidRDefault="00935C24" w:rsidP="00935C24">
      <w:pPr>
        <w:autoSpaceDE w:val="0"/>
        <w:autoSpaceDN w:val="0"/>
        <w:adjustRightInd w:val="0"/>
        <w:spacing w:after="0" w:line="240" w:lineRule="auto"/>
        <w:rPr>
          <w:rFonts w:ascii="Arial" w:hAnsi="Arial" w:cs="Arial"/>
        </w:rPr>
      </w:pPr>
    </w:p>
    <w:p w14:paraId="2BA9C4B3" w14:textId="2AEBCBAA" w:rsidR="00FE3E0F" w:rsidRPr="00D826E2" w:rsidRDefault="00935C24" w:rsidP="00935C24">
      <w:pPr>
        <w:rPr>
          <w:rFonts w:ascii="Arial" w:hAnsi="Arial" w:cs="Arial"/>
        </w:rPr>
      </w:pPr>
      <w:r w:rsidRPr="00D826E2">
        <w:rPr>
          <w:rFonts w:ascii="Arial" w:hAnsi="Arial" w:cs="Arial"/>
        </w:rPr>
        <w:t>MEMD is utilized to extract different frequency components from EEG signals forming Intrinsic mode functions. The effective connectivity is measured by applying partial directed coherence on the extracted IMFs. It is observed that best classification results are obtained when IMF1 or IMF3 alone were taken into consideration. Thus, only IMF1 is considered for EC estimation.</w:t>
      </w:r>
    </w:p>
    <w:p w14:paraId="7589D9EE" w14:textId="7023BEA5" w:rsidR="00FE3E0F" w:rsidRPr="00D826E2" w:rsidRDefault="00935C24" w:rsidP="00FE3E0F">
      <w:pPr>
        <w:spacing w:after="0" w:line="240" w:lineRule="auto"/>
        <w:rPr>
          <w:rFonts w:ascii="Arial" w:hAnsi="Arial" w:cs="Arial"/>
        </w:rPr>
      </w:pPr>
      <w:r w:rsidRPr="00D826E2">
        <w:rPr>
          <w:rFonts w:ascii="Arial" w:hAnsi="Arial" w:cs="Arial"/>
        </w:rPr>
        <w:t>Given a set {</w:t>
      </w:r>
      <w:r w:rsidR="00FE3E0F" w:rsidRPr="00D826E2">
        <w:rPr>
          <w:rFonts w:ascii="Arial" w:hAnsi="Arial" w:cs="Arial"/>
        </w:rPr>
        <w:t xml:space="preserve">X(t)} </w:t>
      </w:r>
      <w:r w:rsidR="00FE3E0F" w:rsidRPr="00D826E2">
        <w:rPr>
          <w:rFonts w:ascii="Arial" w:hAnsi="Arial" w:cs="Arial"/>
          <w:sz w:val="24"/>
          <w:szCs w:val="24"/>
        </w:rPr>
        <w:t>=</w:t>
      </w:r>
      <w:r w:rsidR="00A8160C">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(t),</m:t>
        </m:r>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(t),</m:t>
        </m:r>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3</m:t>
            </m:r>
          </m:sub>
        </m:sSub>
        <m:r>
          <w:rPr>
            <w:rFonts w:ascii="Cambria Math" w:hAnsi="Cambria Math" w:cs="Arial"/>
            <w:sz w:val="24"/>
            <w:szCs w:val="24"/>
          </w:rPr>
          <m:t>(t)…..,</m:t>
        </m:r>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(t)</m:t>
        </m:r>
      </m:oMath>
      <w:r w:rsidR="00A8160C">
        <w:rPr>
          <w:rFonts w:ascii="Arial" w:hAnsi="Arial" w:cs="Arial"/>
          <w:sz w:val="24"/>
          <w:szCs w:val="24"/>
        </w:rPr>
        <w:t>}</w:t>
      </w:r>
      <w:r w:rsidR="00FE3E0F" w:rsidRPr="00D826E2">
        <w:rPr>
          <w:rFonts w:ascii="Arial" w:hAnsi="Arial" w:cs="Arial"/>
        </w:rPr>
        <w:t>of simultaneously observed multichannel EEG signals described by following MVAR process:</w:t>
      </w:r>
    </w:p>
    <w:p w14:paraId="3639CA2B" w14:textId="77777777" w:rsidR="00FE3E0F" w:rsidRPr="00D826E2" w:rsidRDefault="00FE3E0F" w:rsidP="00FE3E0F">
      <w:pPr>
        <w:spacing w:after="0" w:line="240" w:lineRule="auto"/>
        <w:rPr>
          <w:rFonts w:ascii="Arial" w:hAnsi="Arial" w:cs="Arial"/>
        </w:rPr>
      </w:pPr>
    </w:p>
    <w:p w14:paraId="42364885" w14:textId="28A6D49E" w:rsidR="00FE3E0F" w:rsidRPr="00D826E2" w:rsidRDefault="00FE3E0F" w:rsidP="00FE3E0F">
      <w:pPr>
        <w:spacing w:after="0" w:line="240" w:lineRule="auto"/>
        <w:rPr>
          <w:rFonts w:ascii="Arial" w:eastAsiaTheme="minorEastAsia" w:hAnsi="Arial" w:cs="Arial"/>
          <w:sz w:val="24"/>
          <w:szCs w:val="24"/>
        </w:rPr>
      </w:pPr>
      <m:oMath>
        <m:r>
          <w:rPr>
            <w:rFonts w:ascii="Cambria Math" w:hAnsi="Cambria Math" w:cs="Arial"/>
            <w:sz w:val="24"/>
            <w:szCs w:val="24"/>
          </w:rPr>
          <m:t xml:space="preserve">  </m:t>
        </m:r>
        <m:nary>
          <m:naryPr>
            <m:chr m:val="∑"/>
            <m:limLoc m:val="subSup"/>
            <m:ctrlPr>
              <w:rPr>
                <w:rFonts w:ascii="Cambria Math" w:hAnsi="Cambria Math" w:cs="Arial"/>
                <w:sz w:val="24"/>
                <w:szCs w:val="24"/>
              </w:rPr>
            </m:ctrlPr>
          </m:naryPr>
          <m:sub>
            <m:r>
              <w:rPr>
                <w:rFonts w:ascii="Cambria Math" w:hAnsi="Cambria Math" w:cs="Arial"/>
                <w:sz w:val="24"/>
                <w:szCs w:val="24"/>
              </w:rPr>
              <m:t>r=1</m:t>
            </m:r>
          </m:sub>
          <m:sup>
            <m:r>
              <w:rPr>
                <w:rFonts w:ascii="Cambria Math" w:hAnsi="Cambria Math" w:cs="Arial"/>
                <w:sz w:val="24"/>
                <w:szCs w:val="24"/>
              </w:rPr>
              <m:t>p</m:t>
            </m:r>
          </m:sup>
          <m:e>
            <m:r>
              <m:rPr>
                <m:sty m:val="p"/>
              </m:rPr>
              <w:rPr>
                <w:rFonts w:ascii="Cambria Math" w:hAnsi="Cambria Math" w:cs="Arial"/>
                <w:sz w:val="24"/>
                <w:szCs w:val="24"/>
              </w:rPr>
              <m:t>Λ</m:t>
            </m:r>
            <m:d>
              <m:dPr>
                <m:ctrlPr>
                  <w:rPr>
                    <w:rFonts w:ascii="Cambria Math" w:hAnsi="Cambria Math" w:cs="Arial"/>
                    <w:sz w:val="24"/>
                    <w:szCs w:val="24"/>
                  </w:rPr>
                </m:ctrlPr>
              </m:dPr>
              <m:e>
                <m:r>
                  <m:rPr>
                    <m:sty m:val="p"/>
                  </m:rPr>
                  <w:rPr>
                    <w:rFonts w:ascii="Cambria Math" w:hAnsi="Cambria Math" w:cs="Arial"/>
                    <w:sz w:val="24"/>
                    <w:szCs w:val="24"/>
                  </w:rPr>
                  <m:t>r</m:t>
                </m:r>
              </m:e>
            </m:d>
            <m:r>
              <m:rPr>
                <m:sty m:val="p"/>
              </m:rPr>
              <w:rPr>
                <w:rFonts w:ascii="Cambria Math" w:hAnsi="Cambria Math" w:cs="Arial"/>
                <w:sz w:val="24"/>
                <w:szCs w:val="24"/>
              </w:rPr>
              <m:t>X</m:t>
            </m:r>
            <m:d>
              <m:dPr>
                <m:ctrlPr>
                  <w:rPr>
                    <w:rFonts w:ascii="Cambria Math" w:hAnsi="Cambria Math" w:cs="Arial"/>
                    <w:sz w:val="24"/>
                    <w:szCs w:val="24"/>
                  </w:rPr>
                </m:ctrlPr>
              </m:dPr>
              <m:e>
                <m:r>
                  <m:rPr>
                    <m:sty m:val="p"/>
                  </m:rPr>
                  <w:rPr>
                    <w:rFonts w:ascii="Cambria Math" w:hAnsi="Cambria Math" w:cs="Arial"/>
                    <w:sz w:val="24"/>
                    <w:szCs w:val="24"/>
                  </w:rPr>
                  <m:t>t-r</m:t>
                </m:r>
              </m:e>
            </m:d>
            <m:r>
              <w:rPr>
                <w:rFonts w:ascii="Cambria Math" w:hAnsi="Cambria Math" w:cs="Arial"/>
                <w:sz w:val="24"/>
                <w:szCs w:val="24"/>
              </w:rPr>
              <m:t>=E(t)</m:t>
            </m:r>
          </m:e>
        </m:nary>
      </m:oMath>
      <w:r w:rsidRPr="00D826E2">
        <w:rPr>
          <w:rFonts w:ascii="Arial" w:eastAsiaTheme="minorEastAsia" w:hAnsi="Arial" w:cs="Arial"/>
          <w:sz w:val="24"/>
          <w:szCs w:val="24"/>
        </w:rPr>
        <w:t xml:space="preserve"> with </w:t>
      </w:r>
      <m:oMath>
        <m:r>
          <m:rPr>
            <m:sty m:val="p"/>
          </m:rPr>
          <w:rPr>
            <w:rFonts w:ascii="Cambria Math" w:eastAsiaTheme="minorEastAsia" w:hAnsi="Cambria Math" w:cs="Arial"/>
            <w:sz w:val="24"/>
            <w:szCs w:val="24"/>
          </w:rPr>
          <m:t>Λ</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m:t>
            </m:r>
          </m:e>
        </m:d>
        <m:r>
          <w:rPr>
            <w:rFonts w:ascii="Cambria Math" w:eastAsiaTheme="minorEastAsia" w:hAnsi="Cambria Math" w:cs="Arial"/>
            <w:sz w:val="24"/>
            <w:szCs w:val="24"/>
          </w:rPr>
          <m:t>=I</m:t>
        </m:r>
      </m:oMath>
      <w:r w:rsidR="00D826E2" w:rsidRPr="00D826E2">
        <w:rPr>
          <w:rFonts w:ascii="Arial" w:eastAsiaTheme="minorEastAsia" w:hAnsi="Arial" w:cs="Arial"/>
          <w:sz w:val="24"/>
          <w:szCs w:val="24"/>
        </w:rPr>
        <w:t xml:space="preserve">                                               </w:t>
      </w:r>
      <w:r w:rsidR="00D826E2" w:rsidRPr="00D826E2">
        <w:rPr>
          <w:rFonts w:ascii="Arial" w:eastAsiaTheme="minorEastAsia" w:hAnsi="Arial" w:cs="Arial"/>
          <w:sz w:val="24"/>
          <w:szCs w:val="24"/>
        </w:rPr>
        <w:tab/>
        <w:t>(2)</w:t>
      </w:r>
    </w:p>
    <w:p w14:paraId="5FE62870" w14:textId="77777777" w:rsidR="00FE3E0F" w:rsidRPr="00D826E2" w:rsidRDefault="00FE3E0F" w:rsidP="00FE3E0F">
      <w:pPr>
        <w:autoSpaceDE w:val="0"/>
        <w:autoSpaceDN w:val="0"/>
        <w:adjustRightInd w:val="0"/>
        <w:spacing w:after="0" w:line="240" w:lineRule="auto"/>
        <w:rPr>
          <w:rFonts w:ascii="Arial" w:eastAsiaTheme="minorEastAsia" w:hAnsi="Arial" w:cs="Arial"/>
        </w:rPr>
      </w:pPr>
    </w:p>
    <w:p w14:paraId="1B45CB42" w14:textId="5B085FF4" w:rsidR="00FE3E0F" w:rsidRPr="00D826E2" w:rsidRDefault="00FE3E0F" w:rsidP="00FE3E0F">
      <w:pPr>
        <w:autoSpaceDE w:val="0"/>
        <w:autoSpaceDN w:val="0"/>
        <w:adjustRightInd w:val="0"/>
        <w:spacing w:after="0" w:line="240" w:lineRule="auto"/>
        <w:rPr>
          <w:rFonts w:ascii="Arial" w:hAnsi="Arial" w:cs="Arial"/>
          <w:color w:val="000000"/>
        </w:rPr>
      </w:pPr>
      <w:r w:rsidRPr="00D826E2">
        <w:rPr>
          <w:rFonts w:ascii="Arial" w:hAnsi="Arial" w:cs="Arial"/>
          <w:color w:val="000000"/>
        </w:rPr>
        <w:t>E (t) is a vector of multivariate zero-mean uncorrelated white noise process and Λ(r) is the N×N matrices of model coefficients, the dimension p in the model can be estimated using the Akaike criterion while the values of coefficients in Eq. (2) can be obtained by the Nuttall-Strand method, which is reported to be the best one among multivariate autoregressive estimators [</w:t>
      </w:r>
      <w:r w:rsidRPr="00D826E2">
        <w:rPr>
          <w:rFonts w:ascii="Arial" w:hAnsi="Arial" w:cs="Arial"/>
          <w:color w:val="0019FF"/>
        </w:rPr>
        <w:t>9</w:t>
      </w:r>
      <w:r w:rsidRPr="00D826E2">
        <w:rPr>
          <w:rFonts w:ascii="Arial" w:hAnsi="Arial" w:cs="Arial"/>
          <w:color w:val="000000"/>
        </w:rPr>
        <w:t>]. In order to investigate the spectral properties of the examined process, Eq. (2) is transformed to the frequency domain.</w:t>
      </w:r>
    </w:p>
    <w:p w14:paraId="6B560286" w14:textId="0E13668E" w:rsidR="00FE3E0F" w:rsidRPr="00D826E2" w:rsidRDefault="00FE3E0F" w:rsidP="00FE3E0F">
      <w:pPr>
        <w:autoSpaceDE w:val="0"/>
        <w:autoSpaceDN w:val="0"/>
        <w:adjustRightInd w:val="0"/>
        <w:spacing w:after="0" w:line="240" w:lineRule="auto"/>
        <w:rPr>
          <w:rFonts w:ascii="Arial" w:hAnsi="Arial" w:cs="Arial"/>
          <w:color w:val="000000"/>
        </w:rPr>
      </w:pPr>
    </w:p>
    <w:p w14:paraId="059FAC62" w14:textId="7AE7E934" w:rsidR="00266F9A" w:rsidRPr="00D826E2" w:rsidRDefault="00266F9A" w:rsidP="00266F9A">
      <w:pPr>
        <w:autoSpaceDE w:val="0"/>
        <w:autoSpaceDN w:val="0"/>
        <w:adjustRightInd w:val="0"/>
        <w:spacing w:after="0" w:line="240" w:lineRule="auto"/>
        <w:rPr>
          <w:rFonts w:ascii="Arial" w:hAnsi="Arial" w:cs="Arial"/>
          <w:color w:val="000000"/>
        </w:rPr>
      </w:pPr>
      <m:oMathPara>
        <m:oMath>
          <m:r>
            <m:rPr>
              <m:sty m:val="p"/>
            </m:rPr>
            <w:rPr>
              <w:rFonts w:ascii="Cambria Math" w:hAnsi="Cambria Math" w:cs="Arial"/>
              <w:color w:val="000000"/>
            </w:rPr>
            <m:t>Λ</m:t>
          </m:r>
          <m:d>
            <m:dPr>
              <m:ctrlPr>
                <w:rPr>
                  <w:rFonts w:ascii="Cambria Math" w:hAnsi="Cambria Math" w:cs="Arial"/>
                  <w:i/>
                  <w:color w:val="000000"/>
                </w:rPr>
              </m:ctrlPr>
            </m:dPr>
            <m:e>
              <m:r>
                <w:rPr>
                  <w:rFonts w:ascii="Cambria Math" w:hAnsi="Cambria Math" w:cs="Arial"/>
                  <w:color w:val="000000"/>
                </w:rPr>
                <m:t>f</m:t>
              </m:r>
            </m:e>
          </m:d>
          <m:r>
            <w:rPr>
              <w:rFonts w:ascii="Cambria Math" w:hAnsi="Cambria Math" w:cs="Arial"/>
              <w:color w:val="000000"/>
            </w:rPr>
            <m:t>X</m:t>
          </m:r>
          <m:d>
            <m:dPr>
              <m:ctrlPr>
                <w:rPr>
                  <w:rFonts w:ascii="Cambria Math" w:hAnsi="Cambria Math" w:cs="Arial"/>
                  <w:i/>
                  <w:color w:val="000000"/>
                </w:rPr>
              </m:ctrlPr>
            </m:dPr>
            <m:e>
              <m:r>
                <w:rPr>
                  <w:rFonts w:ascii="Cambria Math" w:hAnsi="Cambria Math" w:cs="Arial"/>
                  <w:color w:val="000000"/>
                </w:rPr>
                <m:t>f</m:t>
              </m:r>
            </m:e>
          </m:d>
          <m:r>
            <w:rPr>
              <w:rFonts w:ascii="Cambria Math" w:hAnsi="Cambria Math" w:cs="Arial"/>
              <w:color w:val="000000"/>
            </w:rPr>
            <m:t>=E</m:t>
          </m:r>
          <m:d>
            <m:dPr>
              <m:ctrlPr>
                <w:rPr>
                  <w:rFonts w:ascii="Cambria Math" w:hAnsi="Cambria Math" w:cs="Arial"/>
                  <w:i/>
                  <w:color w:val="000000"/>
                </w:rPr>
              </m:ctrlPr>
            </m:dPr>
            <m:e>
              <m:r>
                <w:rPr>
                  <w:rFonts w:ascii="Cambria Math" w:hAnsi="Cambria Math" w:cs="Arial"/>
                  <w:color w:val="000000"/>
                </w:rPr>
                <m:t>f</m:t>
              </m:r>
            </m:e>
          </m:d>
          <m:r>
            <w:rPr>
              <w:rFonts w:ascii="Cambria Math" w:hAnsi="Cambria Math" w:cs="Arial"/>
              <w:color w:val="000000"/>
            </w:rPr>
            <m:t xml:space="preserve"> where </m:t>
          </m:r>
          <m:r>
            <m:rPr>
              <m:sty m:val="p"/>
            </m:rPr>
            <w:rPr>
              <w:rFonts w:ascii="Cambria Math" w:hAnsi="Cambria Math" w:cs="Arial"/>
              <w:color w:val="000000"/>
            </w:rPr>
            <m:t>Λ</m:t>
          </m:r>
          <m:d>
            <m:dPr>
              <m:ctrlPr>
                <w:rPr>
                  <w:rFonts w:ascii="Cambria Math" w:hAnsi="Cambria Math" w:cs="Arial"/>
                  <w:i/>
                  <w:color w:val="000000"/>
                </w:rPr>
              </m:ctrlPr>
            </m:dPr>
            <m:e>
              <m:r>
                <w:rPr>
                  <w:rFonts w:ascii="Cambria Math" w:hAnsi="Cambria Math" w:cs="Arial"/>
                  <w:color w:val="000000"/>
                </w:rPr>
                <m:t>f</m:t>
              </m:r>
            </m:e>
          </m:d>
          <m:r>
            <w:rPr>
              <w:rFonts w:ascii="Cambria Math" w:hAnsi="Cambria Math" w:cs="Arial"/>
              <w:color w:val="000000"/>
            </w:rPr>
            <m:t xml:space="preserve">= </m:t>
          </m:r>
          <m:nary>
            <m:naryPr>
              <m:chr m:val="∑"/>
              <m:limLoc m:val="undOvr"/>
              <m:ctrlPr>
                <w:rPr>
                  <w:rFonts w:ascii="Cambria Math" w:hAnsi="Cambria Math" w:cs="Arial"/>
                  <w:i/>
                  <w:color w:val="000000"/>
                </w:rPr>
              </m:ctrlPr>
            </m:naryPr>
            <m:sub>
              <m:r>
                <w:rPr>
                  <w:rFonts w:ascii="Cambria Math" w:hAnsi="Cambria Math" w:cs="Arial"/>
                  <w:color w:val="000000"/>
                </w:rPr>
                <m:t>r=0</m:t>
              </m:r>
            </m:sub>
            <m:sup>
              <m:r>
                <w:rPr>
                  <w:rFonts w:ascii="Cambria Math" w:hAnsi="Cambria Math" w:cs="Arial"/>
                  <w:color w:val="000000"/>
                </w:rPr>
                <m:t>p</m:t>
              </m:r>
            </m:sup>
            <m:e>
              <m:r>
                <m:rPr>
                  <m:sty m:val="p"/>
                </m:rPr>
                <w:rPr>
                  <w:rFonts w:ascii="Cambria Math" w:hAnsi="Cambria Math" w:cs="Arial"/>
                  <w:color w:val="000000"/>
                </w:rPr>
                <m:t>Λ</m:t>
              </m:r>
              <m:r>
                <w:rPr>
                  <w:rFonts w:ascii="Cambria Math" w:hAnsi="Cambria Math" w:cs="Arial"/>
                  <w:color w:val="000000"/>
                </w:rPr>
                <m:t>(r)</m:t>
              </m:r>
              <m:sSup>
                <m:sSupPr>
                  <m:ctrlPr>
                    <w:rPr>
                      <w:rFonts w:ascii="Cambria Math" w:hAnsi="Cambria Math" w:cs="Arial"/>
                      <w:i/>
                      <w:color w:val="000000"/>
                    </w:rPr>
                  </m:ctrlPr>
                </m:sSupPr>
                <m:e>
                  <m:r>
                    <w:rPr>
                      <w:rFonts w:ascii="Cambria Math" w:hAnsi="Cambria Math" w:cs="Arial"/>
                      <w:color w:val="000000"/>
                    </w:rPr>
                    <m:t>e</m:t>
                  </m:r>
                </m:e>
                <m:sup>
                  <m:r>
                    <w:rPr>
                      <w:rFonts w:ascii="Cambria Math" w:hAnsi="Cambria Math" w:cs="Arial"/>
                      <w:color w:val="000000"/>
                    </w:rPr>
                    <m:t>-j2</m:t>
                  </m:r>
                  <m:r>
                    <m:rPr>
                      <m:sty m:val="p"/>
                    </m:rPr>
                    <w:rPr>
                      <w:rFonts w:ascii="Cambria Math" w:hAnsi="Cambria Math" w:cs="Arial"/>
                      <w:color w:val="000000"/>
                    </w:rPr>
                    <m:t>π</m:t>
                  </m:r>
                  <m:r>
                    <w:rPr>
                      <w:rFonts w:ascii="Cambria Math" w:hAnsi="Cambria Math" w:cs="Arial"/>
                      <w:color w:val="000000"/>
                    </w:rPr>
                    <m:t>f</m:t>
                  </m:r>
                  <m:r>
                    <m:rPr>
                      <m:sty m:val="p"/>
                    </m:rPr>
                    <w:rPr>
                      <w:rFonts w:ascii="Cambria Math" w:hAnsi="Cambria Math" w:cs="Arial"/>
                      <w:color w:val="000000"/>
                    </w:rPr>
                    <m:t>Δ</m:t>
                  </m:r>
                  <m:r>
                    <w:rPr>
                      <w:rFonts w:ascii="Cambria Math" w:hAnsi="Cambria Math" w:cs="Arial"/>
                      <w:color w:val="000000"/>
                    </w:rPr>
                    <m:t>tr</m:t>
                  </m:r>
                </m:sup>
              </m:sSup>
            </m:e>
          </m:nary>
        </m:oMath>
      </m:oMathPara>
    </w:p>
    <w:p w14:paraId="0D463535" w14:textId="77777777" w:rsidR="00266F9A" w:rsidRPr="00D826E2" w:rsidRDefault="00266F9A" w:rsidP="00FE3E0F">
      <w:pPr>
        <w:autoSpaceDE w:val="0"/>
        <w:autoSpaceDN w:val="0"/>
        <w:adjustRightInd w:val="0"/>
        <w:spacing w:after="0" w:line="240" w:lineRule="auto"/>
        <w:rPr>
          <w:rFonts w:ascii="Arial" w:hAnsi="Arial" w:cs="Arial"/>
        </w:rPr>
      </w:pPr>
      <w:r w:rsidRPr="00D826E2">
        <w:rPr>
          <w:rFonts w:ascii="Arial" w:hAnsi="Arial" w:cs="Arial"/>
        </w:rPr>
        <w:t>and PDC is defined as</w:t>
      </w:r>
    </w:p>
    <w:p w14:paraId="1FE52B9D" w14:textId="0B7769C8" w:rsidR="00FE3E0F" w:rsidRPr="00D826E2" w:rsidRDefault="00266F9A" w:rsidP="00A8160C">
      <w:pPr>
        <w:autoSpaceDE w:val="0"/>
        <w:autoSpaceDN w:val="0"/>
        <w:adjustRightInd w:val="0"/>
        <w:spacing w:after="0" w:line="240" w:lineRule="auto"/>
        <w:ind w:left="2160" w:firstLine="720"/>
        <w:rPr>
          <w:rFonts w:ascii="Arial" w:eastAsiaTheme="minorEastAsia" w:hAnsi="Arial" w:cs="Arial"/>
          <w:sz w:val="32"/>
          <w:szCs w:val="32"/>
        </w:rPr>
      </w:pPr>
      <w:r w:rsidRPr="00D826E2">
        <w:rPr>
          <w:rFonts w:ascii="Arial" w:hAnsi="Arial" w:cs="Arial"/>
          <w:sz w:val="32"/>
          <w:szCs w:val="32"/>
        </w:rPr>
        <w:t xml:space="preserve"> </w:t>
      </w:r>
      <m:oMath>
        <m:sSubSup>
          <m:sSubSupPr>
            <m:ctrlPr>
              <w:rPr>
                <w:rFonts w:ascii="Cambria Math" w:hAnsi="Cambria Math" w:cs="Arial"/>
                <w:i/>
                <w:sz w:val="28"/>
                <w:szCs w:val="28"/>
              </w:rPr>
            </m:ctrlPr>
          </m:sSubSupPr>
          <m:e>
            <m:r>
              <w:rPr>
                <w:rFonts w:ascii="Cambria Math" w:hAnsi="Cambria Math" w:cs="Arial"/>
                <w:sz w:val="28"/>
                <w:szCs w:val="28"/>
              </w:rPr>
              <m:t>π</m:t>
            </m:r>
          </m:e>
          <m:sub>
            <m:r>
              <w:rPr>
                <w:rFonts w:ascii="Cambria Math" w:hAnsi="Cambria Math" w:cs="Arial"/>
                <w:sz w:val="28"/>
                <w:szCs w:val="28"/>
              </w:rPr>
              <m:t>i&lt;-j</m:t>
            </m:r>
          </m:sub>
          <m:sup>
            <m:r>
              <w:rPr>
                <w:rFonts w:ascii="Cambria Math" w:hAnsi="Cambria Math" w:cs="Arial"/>
                <w:sz w:val="28"/>
                <w:szCs w:val="28"/>
              </w:rPr>
              <m:t>2</m:t>
            </m:r>
          </m:sup>
        </m:sSubSup>
        <m:d>
          <m:dPr>
            <m:ctrlPr>
              <w:rPr>
                <w:rFonts w:ascii="Cambria Math" w:hAnsi="Cambria Math" w:cs="Arial"/>
                <w:i/>
                <w:sz w:val="28"/>
                <w:szCs w:val="28"/>
              </w:rPr>
            </m:ctrlPr>
          </m:dPr>
          <m:e>
            <m:r>
              <w:rPr>
                <w:rFonts w:ascii="Cambria Math" w:hAnsi="Cambria Math" w:cs="Arial"/>
                <w:sz w:val="28"/>
                <w:szCs w:val="28"/>
              </w:rPr>
              <m:t>f</m:t>
            </m:r>
          </m:e>
        </m:d>
        <m:r>
          <w:rPr>
            <w:rFonts w:ascii="Cambria Math" w:hAnsi="Cambria Math" w:cs="Arial"/>
            <w:sz w:val="28"/>
            <w:szCs w:val="28"/>
          </w:rPr>
          <m:t xml:space="preserve">= </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m:t>
                </m:r>
                <m:sSub>
                  <m:sSubPr>
                    <m:ctrlPr>
                      <w:rPr>
                        <w:rFonts w:ascii="Cambria Math" w:hAnsi="Cambria Math" w:cs="Arial"/>
                        <w:i/>
                        <w:sz w:val="28"/>
                        <w:szCs w:val="28"/>
                      </w:rPr>
                    </m:ctrlPr>
                  </m:sSubPr>
                  <m:e>
                    <m:r>
                      <m:rPr>
                        <m:sty m:val="p"/>
                      </m:rPr>
                      <w:rPr>
                        <w:rFonts w:ascii="Cambria Math" w:hAnsi="Cambria Math" w:cs="Arial"/>
                        <w:sz w:val="28"/>
                        <w:szCs w:val="28"/>
                      </w:rPr>
                      <m:t>Λ</m:t>
                    </m:r>
                  </m:e>
                  <m:sub>
                    <m:r>
                      <w:rPr>
                        <w:rFonts w:ascii="Cambria Math" w:hAnsi="Cambria Math" w:cs="Arial"/>
                        <w:sz w:val="28"/>
                        <w:szCs w:val="28"/>
                      </w:rPr>
                      <m:t>ij</m:t>
                    </m:r>
                  </m:sub>
                </m:sSub>
                <m:r>
                  <w:rPr>
                    <w:rFonts w:ascii="Cambria Math" w:hAnsi="Cambria Math" w:cs="Arial"/>
                    <w:sz w:val="28"/>
                    <w:szCs w:val="28"/>
                  </w:rPr>
                  <m:t>(f)|</m:t>
                </m:r>
              </m:e>
              <m:sup>
                <m:r>
                  <w:rPr>
                    <w:rFonts w:ascii="Cambria Math" w:hAnsi="Cambria Math" w:cs="Arial"/>
                    <w:sz w:val="28"/>
                    <w:szCs w:val="28"/>
                  </w:rPr>
                  <m:t>2</m:t>
                </m:r>
              </m:sup>
            </m:sSup>
          </m:num>
          <m:den>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p>
                  <m:sSupPr>
                    <m:ctrlPr>
                      <w:rPr>
                        <w:rFonts w:ascii="Cambria Math" w:hAnsi="Cambria Math" w:cs="Arial"/>
                        <w:i/>
                        <w:sz w:val="28"/>
                        <w:szCs w:val="28"/>
                      </w:rPr>
                    </m:ctrlPr>
                  </m:sSupPr>
                  <m:e>
                    <m:r>
                      <w:rPr>
                        <w:rFonts w:ascii="Cambria Math" w:hAnsi="Cambria Math" w:cs="Arial"/>
                        <w:sz w:val="28"/>
                        <w:szCs w:val="28"/>
                      </w:rPr>
                      <m:t>|</m:t>
                    </m:r>
                    <m:sSub>
                      <m:sSubPr>
                        <m:ctrlPr>
                          <w:rPr>
                            <w:rFonts w:ascii="Cambria Math" w:hAnsi="Cambria Math" w:cs="Arial"/>
                            <w:i/>
                            <w:sz w:val="28"/>
                            <w:szCs w:val="28"/>
                          </w:rPr>
                        </m:ctrlPr>
                      </m:sSubPr>
                      <m:e>
                        <m:r>
                          <m:rPr>
                            <m:sty m:val="p"/>
                          </m:rPr>
                          <w:rPr>
                            <w:rFonts w:ascii="Cambria Math" w:hAnsi="Cambria Math" w:cs="Arial"/>
                            <w:sz w:val="28"/>
                            <w:szCs w:val="28"/>
                          </w:rPr>
                          <m:t>Λ</m:t>
                        </m:r>
                      </m:e>
                      <m:sub>
                        <m:r>
                          <w:rPr>
                            <w:rFonts w:ascii="Cambria Math" w:hAnsi="Cambria Math" w:cs="Arial"/>
                            <w:sz w:val="28"/>
                            <w:szCs w:val="28"/>
                          </w:rPr>
                          <m:t>kj</m:t>
                        </m:r>
                      </m:sub>
                    </m:sSub>
                    <m:r>
                      <w:rPr>
                        <w:rFonts w:ascii="Cambria Math" w:hAnsi="Cambria Math" w:cs="Arial"/>
                        <w:sz w:val="28"/>
                        <w:szCs w:val="28"/>
                      </w:rPr>
                      <m:t>(f)|</m:t>
                    </m:r>
                  </m:e>
                  <m:sup>
                    <m:r>
                      <w:rPr>
                        <w:rFonts w:ascii="Cambria Math" w:hAnsi="Cambria Math" w:cs="Arial"/>
                        <w:sz w:val="28"/>
                        <w:szCs w:val="28"/>
                      </w:rPr>
                      <m:t>2</m:t>
                    </m:r>
                  </m:sup>
                </m:sSup>
              </m:e>
            </m:nary>
          </m:den>
        </m:f>
      </m:oMath>
    </w:p>
    <w:p w14:paraId="228CAFDD" w14:textId="5904216A" w:rsidR="00D826E2" w:rsidRPr="00D826E2" w:rsidRDefault="00266F9A" w:rsidP="00FE3E0F">
      <w:pPr>
        <w:autoSpaceDE w:val="0"/>
        <w:autoSpaceDN w:val="0"/>
        <w:adjustRightInd w:val="0"/>
        <w:spacing w:after="0" w:line="240" w:lineRule="auto"/>
        <w:rPr>
          <w:rFonts w:ascii="Arial" w:hAnsi="Arial" w:cs="Arial"/>
        </w:rPr>
      </w:pPr>
      <w:r w:rsidRPr="00D826E2">
        <w:rPr>
          <w:rFonts w:ascii="Arial" w:hAnsi="Arial" w:cs="Arial"/>
        </w:rPr>
        <w:t>Thus, PDC provides influence of xj on xi via comparison of xj on all other variables.</w:t>
      </w:r>
    </w:p>
    <w:p w14:paraId="0E82B262" w14:textId="47020908" w:rsidR="00D826E2" w:rsidRPr="00D826E2" w:rsidRDefault="00D826E2" w:rsidP="00FE3E0F">
      <w:pPr>
        <w:autoSpaceDE w:val="0"/>
        <w:autoSpaceDN w:val="0"/>
        <w:adjustRightInd w:val="0"/>
        <w:spacing w:after="0" w:line="240" w:lineRule="auto"/>
        <w:rPr>
          <w:rFonts w:ascii="Arial" w:hAnsi="Arial" w:cs="Arial"/>
        </w:rPr>
      </w:pPr>
    </w:p>
    <w:p w14:paraId="342150EC" w14:textId="48E5219D" w:rsidR="00D826E2" w:rsidRPr="00D826E2" w:rsidRDefault="00D826E2" w:rsidP="00D826E2">
      <w:pPr>
        <w:pStyle w:val="Heading2"/>
        <w:rPr>
          <w:rFonts w:ascii="Arial" w:hAnsi="Arial" w:cs="Arial"/>
        </w:rPr>
      </w:pPr>
      <w:r w:rsidRPr="00D826E2">
        <w:rPr>
          <w:rFonts w:ascii="Arial" w:hAnsi="Arial" w:cs="Arial"/>
        </w:rPr>
        <w:t>Effective Connectivity using Normalised Transfer Entropy</w:t>
      </w:r>
      <w:sdt>
        <w:sdtPr>
          <w:rPr>
            <w:rFonts w:ascii="Arial" w:hAnsi="Arial" w:cs="Arial"/>
          </w:rPr>
          <w:id w:val="1668589754"/>
          <w:citation/>
        </w:sdtPr>
        <w:sdtEndPr/>
        <w:sdtContent>
          <w:r w:rsidRPr="00D826E2">
            <w:rPr>
              <w:rFonts w:ascii="Arial" w:hAnsi="Arial" w:cs="Arial"/>
            </w:rPr>
            <w:fldChar w:fldCharType="begin"/>
          </w:r>
          <w:r w:rsidRPr="00D826E2">
            <w:rPr>
              <w:rFonts w:ascii="Arial" w:hAnsi="Arial" w:cs="Arial"/>
            </w:rPr>
            <w:instrText xml:space="preserve"> CITATION Sho14 \l 16393 </w:instrText>
          </w:r>
          <w:r w:rsidRPr="00D826E2">
            <w:rPr>
              <w:rFonts w:ascii="Arial" w:hAnsi="Arial" w:cs="Arial"/>
            </w:rPr>
            <w:fldChar w:fldCharType="separate"/>
          </w:r>
          <w:r w:rsidRPr="00D826E2">
            <w:rPr>
              <w:rFonts w:ascii="Arial" w:hAnsi="Arial" w:cs="Arial"/>
              <w:noProof/>
            </w:rPr>
            <w:t xml:space="preserve"> (Shovon, 2014)</w:t>
          </w:r>
          <w:r w:rsidRPr="00D826E2">
            <w:rPr>
              <w:rFonts w:ascii="Arial" w:hAnsi="Arial" w:cs="Arial"/>
            </w:rPr>
            <w:fldChar w:fldCharType="end"/>
          </w:r>
        </w:sdtContent>
      </w:sdt>
    </w:p>
    <w:p w14:paraId="5DBDD738" w14:textId="56F66492" w:rsidR="00D826E2" w:rsidRPr="00D826E2" w:rsidRDefault="00D826E2" w:rsidP="00FE3E0F">
      <w:pPr>
        <w:autoSpaceDE w:val="0"/>
        <w:autoSpaceDN w:val="0"/>
        <w:adjustRightInd w:val="0"/>
        <w:spacing w:after="0" w:line="240" w:lineRule="auto"/>
        <w:rPr>
          <w:rFonts w:ascii="Arial" w:hAnsi="Arial" w:cs="Arial"/>
          <w:b/>
          <w:bCs/>
        </w:rPr>
      </w:pPr>
    </w:p>
    <w:p w14:paraId="457D1E17" w14:textId="570915F9" w:rsidR="00D826E2" w:rsidRPr="00D826E2" w:rsidRDefault="00D826E2" w:rsidP="00FE3E0F">
      <w:pPr>
        <w:autoSpaceDE w:val="0"/>
        <w:autoSpaceDN w:val="0"/>
        <w:adjustRightInd w:val="0"/>
        <w:spacing w:after="0" w:line="240" w:lineRule="auto"/>
        <w:rPr>
          <w:rFonts w:ascii="Arial" w:eastAsiaTheme="minorEastAsia" w:hAnsi="Arial" w:cs="Arial"/>
        </w:rPr>
      </w:pPr>
      <w:r w:rsidRPr="00D826E2">
        <w:rPr>
          <w:rFonts w:ascii="Arial" w:hAnsi="Arial" w:cs="Arial"/>
        </w:rPr>
        <w:t xml:space="preserve">Normalised Transfer Entropy is more sensitive to cognitive tasks when compared to Transfer Entropy. Due to finite size and non-stationarity of EEG data, TE matrices contain large amounts of noise. Noise/bias has been removed from TE by subtracting the average transfer entropy from shuffled version of X to Y over several shuffles. This shuffled transfer entropy is denoted by  </w:t>
      </w:r>
      <m:oMath>
        <m:r>
          <w:rPr>
            <w:rFonts w:ascii="Cambria Math" w:hAnsi="Cambria Math" w:cs="Arial"/>
            <w:sz w:val="28"/>
            <w:szCs w:val="28"/>
          </w:rPr>
          <m:t>&lt;</m:t>
        </m:r>
        <m:sSub>
          <m:sSubPr>
            <m:ctrlPr>
              <w:rPr>
                <w:rFonts w:ascii="Cambria Math" w:hAnsi="Cambria Math" w:cs="Arial"/>
                <w:i/>
                <w:sz w:val="28"/>
                <w:szCs w:val="28"/>
              </w:rPr>
            </m:ctrlPr>
          </m:sSubPr>
          <m:e>
            <m:r>
              <w:rPr>
                <w:rFonts w:ascii="Cambria Math" w:hAnsi="Cambria Math" w:cs="Arial"/>
                <w:sz w:val="28"/>
                <w:szCs w:val="28"/>
              </w:rPr>
              <m:t>TE</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shuffle</m:t>
                </m:r>
              </m:sub>
            </m:sSub>
            <m:r>
              <w:rPr>
                <w:rFonts w:ascii="Cambria Math" w:hAnsi="Cambria Math" w:cs="Arial"/>
                <w:sz w:val="28"/>
                <w:szCs w:val="28"/>
              </w:rPr>
              <m:t>→Y</m:t>
            </m:r>
          </m:sub>
        </m:sSub>
        <m:r>
          <w:rPr>
            <w:rFonts w:ascii="Cambria Math" w:hAnsi="Cambria Math" w:cs="Arial"/>
            <w:sz w:val="28"/>
            <w:szCs w:val="28"/>
          </w:rPr>
          <m:t>&gt;</m:t>
        </m:r>
      </m:oMath>
      <w:r w:rsidRPr="00D826E2">
        <w:rPr>
          <w:rFonts w:ascii="Arial" w:eastAsiaTheme="minorEastAsia" w:hAnsi="Arial" w:cs="Arial"/>
          <w:sz w:val="28"/>
          <w:szCs w:val="28"/>
        </w:rPr>
        <w:t xml:space="preserve">. </w:t>
      </w:r>
      <w:r w:rsidRPr="00D826E2">
        <w:rPr>
          <w:rFonts w:ascii="Arial" w:eastAsiaTheme="minorEastAsia" w:hAnsi="Arial" w:cs="Arial"/>
        </w:rPr>
        <w:t>Normalised Transfer Entropy is then calculated from X to Y with respect to total information in Y itself.</w:t>
      </w:r>
    </w:p>
    <w:p w14:paraId="129CC96D" w14:textId="23E81784" w:rsidR="00D826E2" w:rsidRPr="00D826E2" w:rsidRDefault="00D826E2" w:rsidP="00FE3E0F">
      <w:pPr>
        <w:autoSpaceDE w:val="0"/>
        <w:autoSpaceDN w:val="0"/>
        <w:adjustRightInd w:val="0"/>
        <w:spacing w:after="0" w:line="240" w:lineRule="auto"/>
        <w:rPr>
          <w:rFonts w:ascii="Arial" w:eastAsiaTheme="minorEastAsia" w:hAnsi="Arial" w:cs="Arial"/>
        </w:rPr>
      </w:pPr>
    </w:p>
    <w:p w14:paraId="19DAF048" w14:textId="21A94BA5" w:rsidR="00D826E2" w:rsidRPr="00D826E2" w:rsidRDefault="00EA2B32" w:rsidP="00FE3E0F">
      <w:pPr>
        <w:autoSpaceDE w:val="0"/>
        <w:autoSpaceDN w:val="0"/>
        <w:adjustRightInd w:val="0"/>
        <w:spacing w:after="0" w:line="240" w:lineRule="auto"/>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NTE</m:t>
              </m:r>
            </m:e>
            <m:sub>
              <m:r>
                <w:rPr>
                  <w:rFonts w:ascii="Cambria Math" w:hAnsi="Cambria Math" w:cs="Arial"/>
                  <w:sz w:val="28"/>
                  <w:szCs w:val="28"/>
                </w:rPr>
                <m:t>X→Y</m:t>
              </m:r>
            </m:sub>
          </m:sSub>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TE</m:t>
                  </m:r>
                </m:e>
                <m:sub>
                  <m:r>
                    <w:rPr>
                      <w:rFonts w:ascii="Cambria Math" w:hAnsi="Cambria Math" w:cs="Arial"/>
                      <w:sz w:val="28"/>
                      <w:szCs w:val="28"/>
                    </w:rPr>
                    <m:t xml:space="preserve"> X→Y</m:t>
                  </m:r>
                </m:sub>
              </m:sSub>
              <m:r>
                <w:rPr>
                  <w:rFonts w:ascii="Cambria Math" w:hAnsi="Cambria Math" w:cs="Arial"/>
                  <w:sz w:val="28"/>
                  <w:szCs w:val="28"/>
                </w:rPr>
                <m:t>-&lt;</m:t>
              </m:r>
              <m:sSub>
                <m:sSubPr>
                  <m:ctrlPr>
                    <w:rPr>
                      <w:rFonts w:ascii="Cambria Math" w:hAnsi="Cambria Math" w:cs="Arial"/>
                      <w:i/>
                      <w:sz w:val="28"/>
                      <w:szCs w:val="28"/>
                    </w:rPr>
                  </m:ctrlPr>
                </m:sSubPr>
                <m:e>
                  <m:r>
                    <w:rPr>
                      <w:rFonts w:ascii="Cambria Math" w:hAnsi="Cambria Math" w:cs="Arial"/>
                      <w:sz w:val="28"/>
                      <w:szCs w:val="28"/>
                    </w:rPr>
                    <m:t>TE</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shuffle</m:t>
                      </m:r>
                    </m:sub>
                  </m:sSub>
                  <m:r>
                    <w:rPr>
                      <w:rFonts w:ascii="Cambria Math" w:hAnsi="Cambria Math" w:cs="Arial"/>
                      <w:sz w:val="28"/>
                      <w:szCs w:val="28"/>
                    </w:rPr>
                    <m:t>→Y</m:t>
                  </m:r>
                </m:sub>
              </m:sSub>
              <m:r>
                <w:rPr>
                  <w:rFonts w:ascii="Cambria Math" w:hAnsi="Cambria Math" w:cs="Arial"/>
                  <w:sz w:val="28"/>
                  <w:szCs w:val="28"/>
                </w:rPr>
                <m:t xml:space="preserve">&gt; </m:t>
              </m:r>
            </m:num>
            <m:den>
              <m:r>
                <w:rPr>
                  <w:rFonts w:ascii="Cambria Math" w:hAnsi="Cambria Math" w:cs="Arial"/>
                  <w:sz w:val="28"/>
                  <w:szCs w:val="28"/>
                </w:rPr>
                <m:t>H</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t+1</m:t>
                      </m:r>
                    </m:sub>
                  </m:sSub>
                </m:e>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e>
              </m:d>
            </m:den>
          </m:f>
        </m:oMath>
      </m:oMathPara>
    </w:p>
    <w:p w14:paraId="76C7B3FB" w14:textId="02B6120F" w:rsidR="00D826E2" w:rsidRPr="00D826E2" w:rsidRDefault="00D826E2" w:rsidP="00FE3E0F">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 xml:space="preserve">where </w:t>
      </w:r>
      <m:oMath>
        <m:r>
          <w:rPr>
            <w:rFonts w:ascii="Cambria Math" w:hAnsi="Cambria Math" w:cs="Arial"/>
            <w:sz w:val="28"/>
            <w:szCs w:val="28"/>
          </w:rPr>
          <m:t>H</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t+1</m:t>
                </m:r>
              </m:sub>
            </m:sSub>
          </m:e>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t</m:t>
                </m:r>
              </m:sub>
            </m:sSub>
          </m:e>
        </m:d>
      </m:oMath>
      <w:r w:rsidRPr="00D826E2">
        <w:rPr>
          <w:rFonts w:ascii="Arial" w:eastAsiaTheme="minorEastAsia" w:hAnsi="Arial" w:cs="Arial"/>
          <w:sz w:val="28"/>
          <w:szCs w:val="28"/>
        </w:rPr>
        <w:t xml:space="preserve"> </w:t>
      </w:r>
      <w:r w:rsidRPr="00D826E2">
        <w:rPr>
          <w:rFonts w:ascii="Arial" w:eastAsiaTheme="minorEastAsia" w:hAnsi="Arial" w:cs="Arial"/>
        </w:rPr>
        <w:t>is the conditional entropy of y at t+1 given its value at t. Thus, NTE is in range of [0,1].</w:t>
      </w:r>
    </w:p>
    <w:p w14:paraId="1DDF6B65" w14:textId="41F3A06B" w:rsidR="00D826E2" w:rsidRPr="00D826E2" w:rsidRDefault="00D826E2" w:rsidP="00FE3E0F">
      <w:pPr>
        <w:autoSpaceDE w:val="0"/>
        <w:autoSpaceDN w:val="0"/>
        <w:adjustRightInd w:val="0"/>
        <w:spacing w:after="0" w:line="240" w:lineRule="auto"/>
        <w:rPr>
          <w:rFonts w:ascii="Arial" w:eastAsiaTheme="minorEastAsia" w:hAnsi="Arial" w:cs="Arial"/>
        </w:rPr>
      </w:pPr>
    </w:p>
    <w:p w14:paraId="7C17D038" w14:textId="45C2CAC6" w:rsidR="00D826E2" w:rsidRPr="00D826E2" w:rsidRDefault="00D826E2" w:rsidP="00FE3E0F">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 xml:space="preserve">The embedding dimension in TE is estimated by observing the autocorrelation and mutual information (between the time series and its delayed version) plots. The tau(delay) is set to be 2. </w:t>
      </w:r>
      <m:oMath>
        <m:r>
          <w:rPr>
            <w:rFonts w:ascii="Cambria Math" w:eastAsiaTheme="minorEastAsia" w:hAnsi="Cambria Math" w:cs="Arial"/>
          </w:rPr>
          <m:t>&lt;</m:t>
        </m:r>
        <m:sSub>
          <m:sSubPr>
            <m:ctrlPr>
              <w:rPr>
                <w:rFonts w:ascii="Cambria Math" w:hAnsi="Cambria Math" w:cs="Arial"/>
                <w:i/>
                <w:sz w:val="28"/>
                <w:szCs w:val="28"/>
              </w:rPr>
            </m:ctrlPr>
          </m:sSubPr>
          <m:e>
            <m:r>
              <w:rPr>
                <w:rFonts w:ascii="Cambria Math" w:hAnsi="Cambria Math" w:cs="Arial"/>
                <w:sz w:val="28"/>
                <w:szCs w:val="28"/>
              </w:rPr>
              <m:t>TE</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shuffle</m:t>
                </m:r>
              </m:sub>
            </m:sSub>
            <m:r>
              <w:rPr>
                <w:rFonts w:ascii="Cambria Math" w:hAnsi="Cambria Math" w:cs="Arial"/>
                <w:sz w:val="28"/>
                <w:szCs w:val="28"/>
              </w:rPr>
              <m:t>→Y</m:t>
            </m:r>
          </m:sub>
        </m:sSub>
        <m:r>
          <w:rPr>
            <w:rFonts w:ascii="Cambria Math" w:hAnsi="Cambria Math" w:cs="Arial"/>
            <w:sz w:val="28"/>
            <w:szCs w:val="28"/>
          </w:rPr>
          <m:t>&gt;</m:t>
        </m:r>
      </m:oMath>
      <w:r w:rsidRPr="00D826E2">
        <w:rPr>
          <w:rFonts w:ascii="Arial" w:eastAsiaTheme="minorEastAsia" w:hAnsi="Arial" w:cs="Arial"/>
          <w:sz w:val="28"/>
          <w:szCs w:val="28"/>
        </w:rPr>
        <w:t xml:space="preserve">  </w:t>
      </w:r>
      <w:r w:rsidRPr="00D826E2">
        <w:rPr>
          <w:rFonts w:ascii="Arial" w:eastAsiaTheme="minorEastAsia" w:hAnsi="Arial" w:cs="Arial"/>
        </w:rPr>
        <w:t>is estimated over 30 shuffle</w:t>
      </w:r>
      <w:r w:rsidR="001118A7">
        <w:rPr>
          <w:rFonts w:ascii="Arial" w:eastAsiaTheme="minorEastAsia" w:hAnsi="Arial" w:cs="Arial"/>
        </w:rPr>
        <w:t>d versions of X</w:t>
      </w:r>
      <w:sdt>
        <w:sdtPr>
          <w:rPr>
            <w:rFonts w:ascii="Arial" w:eastAsiaTheme="minorEastAsia" w:hAnsi="Arial" w:cs="Arial"/>
          </w:rPr>
          <w:id w:val="-1591459776"/>
          <w:citation/>
        </w:sdtPr>
        <w:sdtEndPr/>
        <w:sdtContent>
          <w:r w:rsidRPr="00D826E2">
            <w:rPr>
              <w:rFonts w:ascii="Arial" w:eastAsiaTheme="minorEastAsia" w:hAnsi="Arial" w:cs="Arial"/>
            </w:rPr>
            <w:fldChar w:fldCharType="begin"/>
          </w:r>
          <w:r w:rsidRPr="00D826E2">
            <w:rPr>
              <w:rFonts w:ascii="Arial" w:eastAsiaTheme="minorEastAsia" w:hAnsi="Arial" w:cs="Arial"/>
            </w:rPr>
            <w:instrText xml:space="preserve"> CITATION Ney11 \l 16393 </w:instrText>
          </w:r>
          <w:r w:rsidRPr="00D826E2">
            <w:rPr>
              <w:rFonts w:ascii="Arial" w:eastAsiaTheme="minorEastAsia" w:hAnsi="Arial" w:cs="Arial"/>
            </w:rPr>
            <w:fldChar w:fldCharType="separate"/>
          </w:r>
          <w:r w:rsidRPr="00D826E2">
            <w:rPr>
              <w:rFonts w:ascii="Arial" w:eastAsiaTheme="minorEastAsia" w:hAnsi="Arial" w:cs="Arial"/>
              <w:noProof/>
            </w:rPr>
            <w:t xml:space="preserve"> (Neymotin, 2011)</w:t>
          </w:r>
          <w:r w:rsidRPr="00D826E2">
            <w:rPr>
              <w:rFonts w:ascii="Arial" w:eastAsiaTheme="minorEastAsia" w:hAnsi="Arial" w:cs="Arial"/>
            </w:rPr>
            <w:fldChar w:fldCharType="end"/>
          </w:r>
        </w:sdtContent>
      </w:sdt>
      <w:r w:rsidRPr="00D826E2">
        <w:rPr>
          <w:rFonts w:ascii="Arial" w:eastAsiaTheme="minorEastAsia" w:hAnsi="Arial" w:cs="Arial"/>
        </w:rPr>
        <w:t xml:space="preserve">. The conditional entropy is estimated using pyitlib module. </w:t>
      </w:r>
    </w:p>
    <w:p w14:paraId="3A33A832" w14:textId="03ACDE29" w:rsidR="00D826E2" w:rsidRPr="00D826E2" w:rsidRDefault="00D826E2" w:rsidP="00D826E2">
      <w:pPr>
        <w:pStyle w:val="Heading1"/>
        <w:rPr>
          <w:rFonts w:ascii="Arial" w:eastAsiaTheme="minorEastAsia" w:hAnsi="Arial" w:cs="Arial"/>
        </w:rPr>
      </w:pPr>
      <w:r w:rsidRPr="00D826E2">
        <w:rPr>
          <w:rFonts w:ascii="Arial" w:eastAsiaTheme="minorEastAsia" w:hAnsi="Arial" w:cs="Arial"/>
        </w:rPr>
        <w:t>Results and Discussion</w:t>
      </w:r>
    </w:p>
    <w:p w14:paraId="255F894B" w14:textId="21464E12" w:rsidR="00D826E2" w:rsidRPr="00D826E2" w:rsidRDefault="00D826E2" w:rsidP="00FE3E0F">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The top 10 Effective Connections identified from Partial Directed Coherence method are plotted and compared with EC measured by Transfer Entropy.</w:t>
      </w:r>
    </w:p>
    <w:p w14:paraId="212DB9B2" w14:textId="65D35C9B" w:rsidR="00D826E2" w:rsidRPr="00D826E2" w:rsidRDefault="00D826E2" w:rsidP="00FE3E0F">
      <w:pPr>
        <w:autoSpaceDE w:val="0"/>
        <w:autoSpaceDN w:val="0"/>
        <w:adjustRightInd w:val="0"/>
        <w:spacing w:after="0" w:line="240" w:lineRule="auto"/>
        <w:rPr>
          <w:rFonts w:ascii="Arial" w:eastAsiaTheme="minorEastAsia" w:hAnsi="Arial" w:cs="Arial"/>
        </w:rPr>
      </w:pPr>
    </w:p>
    <w:p w14:paraId="78948BAF" w14:textId="75BFAF8F" w:rsidR="00D826E2" w:rsidRPr="00D826E2" w:rsidRDefault="00D826E2" w:rsidP="00FE3E0F">
      <w:pPr>
        <w:autoSpaceDE w:val="0"/>
        <w:autoSpaceDN w:val="0"/>
        <w:adjustRightInd w:val="0"/>
        <w:spacing w:after="0" w:line="240" w:lineRule="auto"/>
        <w:rPr>
          <w:rFonts w:ascii="Arial" w:eastAsiaTheme="minorEastAsia" w:hAnsi="Arial" w:cs="Arial"/>
        </w:rPr>
      </w:pPr>
    </w:p>
    <w:p w14:paraId="55BEEBDF" w14:textId="65E8FEA6" w:rsidR="00D826E2" w:rsidRPr="00D826E2" w:rsidRDefault="00D826E2" w:rsidP="00FE3E0F">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ab/>
      </w:r>
      <w:r w:rsidRPr="00D826E2">
        <w:rPr>
          <w:rFonts w:ascii="Arial" w:eastAsiaTheme="minorEastAsia" w:hAnsi="Arial" w:cs="Arial"/>
        </w:rPr>
        <w:tab/>
      </w:r>
      <w:r w:rsidRPr="00D826E2">
        <w:rPr>
          <w:rFonts w:ascii="Arial" w:eastAsiaTheme="minorEastAsia" w:hAnsi="Arial" w:cs="Arial"/>
        </w:rPr>
        <w:tab/>
      </w:r>
      <w:r w:rsidRPr="00D826E2">
        <w:rPr>
          <w:rFonts w:ascii="Arial" w:eastAsiaTheme="minorEastAsia" w:hAnsi="Arial" w:cs="Arial"/>
        </w:rPr>
        <w:tab/>
      </w:r>
      <w:r w:rsidRPr="00D826E2">
        <w:rPr>
          <w:rFonts w:ascii="Arial" w:eastAsiaTheme="minorEastAsia" w:hAnsi="Arial" w:cs="Arial"/>
        </w:rPr>
        <w:tab/>
        <w:t>Table 1</w:t>
      </w:r>
    </w:p>
    <w:tbl>
      <w:tblPr>
        <w:tblStyle w:val="TableGrid"/>
        <w:tblW w:w="0" w:type="auto"/>
        <w:tblLook w:val="04A0" w:firstRow="1" w:lastRow="0" w:firstColumn="1" w:lastColumn="0" w:noHBand="0" w:noVBand="1"/>
      </w:tblPr>
      <w:tblGrid>
        <w:gridCol w:w="8530"/>
      </w:tblGrid>
      <w:tr w:rsidR="00D826E2" w:rsidRPr="00D826E2" w14:paraId="0AF591C6" w14:textId="77777777" w:rsidTr="00D826E2">
        <w:trPr>
          <w:trHeight w:val="3884"/>
        </w:trPr>
        <w:tc>
          <w:tcPr>
            <w:tcW w:w="8530" w:type="dxa"/>
          </w:tcPr>
          <w:p w14:paraId="0F0BA265" w14:textId="61B328AC" w:rsidR="00D826E2" w:rsidRPr="00D826E2" w:rsidRDefault="00D826E2" w:rsidP="000511DF">
            <w:pPr>
              <w:rPr>
                <w:rFonts w:ascii="Arial" w:hAnsi="Arial" w:cs="Arial"/>
              </w:rPr>
            </w:pPr>
            <w:r w:rsidRPr="00D826E2">
              <w:rPr>
                <w:rFonts w:ascii="Arial" w:hAnsi="Arial" w:cs="Arial"/>
                <w:noProof/>
              </w:rPr>
              <w:drawing>
                <wp:inline distT="0" distB="0" distL="0" distR="0" wp14:anchorId="09E61866" wp14:editId="09163C74">
                  <wp:extent cx="2685968" cy="24688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879" t="36636" r="37913" b="25310"/>
                          <a:stretch/>
                        </pic:blipFill>
                        <pic:spPr bwMode="auto">
                          <a:xfrm>
                            <a:off x="0" y="0"/>
                            <a:ext cx="2706714" cy="2487949"/>
                          </a:xfrm>
                          <a:prstGeom prst="rect">
                            <a:avLst/>
                          </a:prstGeom>
                          <a:ln>
                            <a:noFill/>
                          </a:ln>
                          <a:extLst>
                            <a:ext uri="{53640926-AAD7-44D8-BBD7-CCE9431645EC}">
                              <a14:shadowObscured xmlns:a14="http://schemas.microsoft.com/office/drawing/2010/main"/>
                            </a:ext>
                          </a:extLst>
                        </pic:spPr>
                      </pic:pic>
                    </a:graphicData>
                  </a:graphic>
                </wp:inline>
              </w:drawing>
            </w:r>
            <w:r w:rsidRPr="00D826E2">
              <w:rPr>
                <w:rFonts w:ascii="Arial" w:hAnsi="Arial" w:cs="Arial"/>
                <w:noProof/>
              </w:rPr>
              <w:drawing>
                <wp:inline distT="0" distB="0" distL="0" distR="0" wp14:anchorId="2837410A" wp14:editId="6AC6DA12">
                  <wp:extent cx="2529840" cy="24326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688" t="37818" r="41370" b="25783"/>
                          <a:stretch/>
                        </pic:blipFill>
                        <pic:spPr bwMode="auto">
                          <a:xfrm>
                            <a:off x="0" y="0"/>
                            <a:ext cx="2544414" cy="2446699"/>
                          </a:xfrm>
                          <a:prstGeom prst="rect">
                            <a:avLst/>
                          </a:prstGeom>
                          <a:ln>
                            <a:noFill/>
                          </a:ln>
                          <a:extLst>
                            <a:ext uri="{53640926-AAD7-44D8-BBD7-CCE9431645EC}">
                              <a14:shadowObscured xmlns:a14="http://schemas.microsoft.com/office/drawing/2010/main"/>
                            </a:ext>
                          </a:extLst>
                        </pic:spPr>
                      </pic:pic>
                    </a:graphicData>
                  </a:graphic>
                </wp:inline>
              </w:drawing>
            </w:r>
            <w:r w:rsidRPr="00D826E2">
              <w:rPr>
                <w:rStyle w:val="FootnoteReference"/>
                <w:rFonts w:ascii="Arial" w:hAnsi="Arial" w:cs="Arial"/>
              </w:rPr>
              <w:footnoteReference w:id="2"/>
            </w:r>
          </w:p>
          <w:p w14:paraId="45C0A7E3" w14:textId="69A8E2A4" w:rsidR="00D826E2" w:rsidRPr="00D826E2" w:rsidRDefault="00D826E2" w:rsidP="000511DF">
            <w:pPr>
              <w:rPr>
                <w:rFonts w:ascii="Arial" w:hAnsi="Arial" w:cs="Arial"/>
              </w:rPr>
            </w:pPr>
          </w:p>
        </w:tc>
      </w:tr>
      <w:tr w:rsidR="00D826E2" w:rsidRPr="00D826E2" w14:paraId="38AE3EDC" w14:textId="77777777" w:rsidTr="00D826E2">
        <w:trPr>
          <w:trHeight w:val="3884"/>
        </w:trPr>
        <w:tc>
          <w:tcPr>
            <w:tcW w:w="8530" w:type="dxa"/>
          </w:tcPr>
          <w:p w14:paraId="40BD4935" w14:textId="0B649708" w:rsidR="00D826E2" w:rsidRPr="00D826E2" w:rsidRDefault="00D826E2" w:rsidP="000511DF">
            <w:pPr>
              <w:rPr>
                <w:rFonts w:ascii="Arial" w:hAnsi="Arial" w:cs="Arial"/>
                <w:b/>
                <w:bCs/>
              </w:rPr>
            </w:pPr>
            <w:r w:rsidRPr="00D826E2">
              <w:rPr>
                <w:rFonts w:ascii="Arial" w:hAnsi="Arial" w:cs="Arial"/>
                <w:b/>
                <w:bCs/>
                <w:noProof/>
              </w:rPr>
              <w:drawing>
                <wp:inline distT="0" distB="0" distL="0" distR="0" wp14:anchorId="7DE8725A" wp14:editId="38957F53">
                  <wp:extent cx="2483708" cy="2129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914" t="37345" r="42433" b="21765"/>
                          <a:stretch/>
                        </pic:blipFill>
                        <pic:spPr bwMode="auto">
                          <a:xfrm>
                            <a:off x="0" y="0"/>
                            <a:ext cx="2509014" cy="2150849"/>
                          </a:xfrm>
                          <a:prstGeom prst="rect">
                            <a:avLst/>
                          </a:prstGeom>
                          <a:ln>
                            <a:noFill/>
                          </a:ln>
                          <a:extLst>
                            <a:ext uri="{53640926-AAD7-44D8-BBD7-CCE9431645EC}">
                              <a14:shadowObscured xmlns:a14="http://schemas.microsoft.com/office/drawing/2010/main"/>
                            </a:ext>
                          </a:extLst>
                        </pic:spPr>
                      </pic:pic>
                    </a:graphicData>
                  </a:graphic>
                </wp:inline>
              </w:drawing>
            </w:r>
            <w:r w:rsidRPr="00D826E2">
              <w:rPr>
                <w:rFonts w:ascii="Arial" w:hAnsi="Arial" w:cs="Arial"/>
                <w:b/>
                <w:bCs/>
                <w:noProof/>
              </w:rPr>
              <w:drawing>
                <wp:inline distT="0" distB="0" distL="0" distR="0" wp14:anchorId="669FE5C9" wp14:editId="490AC307">
                  <wp:extent cx="2642423" cy="232648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67" t="38291" r="41370" b="23420"/>
                          <a:stretch/>
                        </pic:blipFill>
                        <pic:spPr bwMode="auto">
                          <a:xfrm>
                            <a:off x="0" y="0"/>
                            <a:ext cx="2664314" cy="2345754"/>
                          </a:xfrm>
                          <a:prstGeom prst="rect">
                            <a:avLst/>
                          </a:prstGeom>
                          <a:ln>
                            <a:noFill/>
                          </a:ln>
                          <a:extLst>
                            <a:ext uri="{53640926-AAD7-44D8-BBD7-CCE9431645EC}">
                              <a14:shadowObscured xmlns:a14="http://schemas.microsoft.com/office/drawing/2010/main"/>
                            </a:ext>
                          </a:extLst>
                        </pic:spPr>
                      </pic:pic>
                    </a:graphicData>
                  </a:graphic>
                </wp:inline>
              </w:drawing>
            </w:r>
            <w:r w:rsidRPr="00D826E2">
              <w:rPr>
                <w:rStyle w:val="FootnoteReference"/>
                <w:rFonts w:ascii="Arial" w:hAnsi="Arial" w:cs="Arial"/>
                <w:b/>
                <w:bCs/>
              </w:rPr>
              <w:footnoteReference w:id="3"/>
            </w:r>
          </w:p>
        </w:tc>
      </w:tr>
    </w:tbl>
    <w:p w14:paraId="300EEEF0" w14:textId="77777777" w:rsidR="00D826E2" w:rsidRPr="00D826E2" w:rsidRDefault="00D826E2" w:rsidP="00FE3E0F">
      <w:pPr>
        <w:autoSpaceDE w:val="0"/>
        <w:autoSpaceDN w:val="0"/>
        <w:adjustRightInd w:val="0"/>
        <w:spacing w:after="0" w:line="240" w:lineRule="auto"/>
        <w:rPr>
          <w:rFonts w:ascii="Arial" w:eastAsiaTheme="minorEastAsia" w:hAnsi="Arial" w:cs="Arial"/>
        </w:rPr>
      </w:pPr>
    </w:p>
    <w:p w14:paraId="01A07E9C" w14:textId="77777777" w:rsidR="00D826E2" w:rsidRPr="00D826E2" w:rsidRDefault="00D826E2" w:rsidP="00FE3E0F">
      <w:pPr>
        <w:autoSpaceDE w:val="0"/>
        <w:autoSpaceDN w:val="0"/>
        <w:adjustRightInd w:val="0"/>
        <w:spacing w:after="0" w:line="240" w:lineRule="auto"/>
        <w:rPr>
          <w:rFonts w:ascii="Arial" w:eastAsiaTheme="minorEastAsia" w:hAnsi="Arial" w:cs="Arial"/>
          <w:b/>
          <w:bCs/>
          <w:sz w:val="28"/>
          <w:szCs w:val="28"/>
        </w:rPr>
      </w:pPr>
    </w:p>
    <w:p w14:paraId="026EB479" w14:textId="46A40BDF" w:rsidR="001A7B70" w:rsidRDefault="00D826E2" w:rsidP="00FE3E0F">
      <w:pPr>
        <w:autoSpaceDE w:val="0"/>
        <w:autoSpaceDN w:val="0"/>
        <w:adjustRightInd w:val="0"/>
        <w:spacing w:after="0" w:line="240" w:lineRule="auto"/>
        <w:rPr>
          <w:rFonts w:ascii="Arial" w:hAnsi="Arial" w:cs="Arial"/>
        </w:rPr>
      </w:pPr>
      <w:r w:rsidRPr="00D826E2">
        <w:rPr>
          <w:rFonts w:ascii="Arial" w:hAnsi="Arial" w:cs="Arial"/>
        </w:rPr>
        <w:t xml:space="preserve">Table 1 shows that the most of the connections estimated by the Partial Directed Coherence are identified by the Transfer Entropy measurement also. The connections indeed vary a lot with subjects due to different baselines and experimental conditions. Hence, effective connections by Partial Directed Coherence </w:t>
      </w:r>
      <w:r w:rsidR="00A8160C">
        <w:rPr>
          <w:rFonts w:ascii="Arial" w:hAnsi="Arial" w:cs="Arial"/>
        </w:rPr>
        <w:t>are</w:t>
      </w:r>
      <w:r w:rsidRPr="00D826E2">
        <w:rPr>
          <w:rFonts w:ascii="Arial" w:hAnsi="Arial" w:cs="Arial"/>
        </w:rPr>
        <w:t xml:space="preserve"> not suitable for inferring effective connections consistent with all subjects</w:t>
      </w:r>
    </w:p>
    <w:p w14:paraId="7DEE046B" w14:textId="704782B8" w:rsidR="00D826E2" w:rsidRPr="00D826E2" w:rsidRDefault="00D826E2" w:rsidP="00FE3E0F">
      <w:pPr>
        <w:autoSpaceDE w:val="0"/>
        <w:autoSpaceDN w:val="0"/>
        <w:adjustRightInd w:val="0"/>
        <w:spacing w:after="0" w:line="240" w:lineRule="auto"/>
        <w:rPr>
          <w:rFonts w:ascii="Arial" w:hAnsi="Arial" w:cs="Arial"/>
        </w:rPr>
      </w:pPr>
      <w:r w:rsidRPr="00D826E2">
        <w:rPr>
          <w:rFonts w:ascii="Arial" w:hAnsi="Arial" w:cs="Arial"/>
        </w:rPr>
        <w:tab/>
      </w:r>
      <w:r w:rsidRPr="00D826E2">
        <w:rPr>
          <w:rFonts w:ascii="Arial" w:hAnsi="Arial" w:cs="Arial"/>
        </w:rPr>
        <w:tab/>
      </w:r>
      <w:r w:rsidRPr="00D826E2">
        <w:rPr>
          <w:rFonts w:ascii="Arial" w:hAnsi="Arial" w:cs="Arial"/>
        </w:rPr>
        <w:tab/>
      </w:r>
      <w:r w:rsidRPr="00D826E2">
        <w:rPr>
          <w:rFonts w:ascii="Arial" w:hAnsi="Arial" w:cs="Arial"/>
        </w:rPr>
        <w:tab/>
      </w:r>
      <w:r w:rsidRPr="00D826E2">
        <w:rPr>
          <w:rFonts w:ascii="Arial" w:hAnsi="Arial" w:cs="Arial"/>
        </w:rPr>
        <w:tab/>
        <w:t>Table 2</w:t>
      </w:r>
    </w:p>
    <w:tbl>
      <w:tblPr>
        <w:tblStyle w:val="TableGrid"/>
        <w:tblW w:w="0" w:type="auto"/>
        <w:tblLook w:val="04A0" w:firstRow="1" w:lastRow="0" w:firstColumn="1" w:lastColumn="0" w:noHBand="0" w:noVBand="1"/>
      </w:tblPr>
      <w:tblGrid>
        <w:gridCol w:w="9016"/>
      </w:tblGrid>
      <w:tr w:rsidR="00D826E2" w:rsidRPr="00D826E2" w14:paraId="11C9A996" w14:textId="77777777" w:rsidTr="001D601A">
        <w:trPr>
          <w:trHeight w:val="3781"/>
        </w:trPr>
        <w:tc>
          <w:tcPr>
            <w:tcW w:w="9016" w:type="dxa"/>
          </w:tcPr>
          <w:p w14:paraId="7BE16AC3" w14:textId="7688E069" w:rsidR="00D826E2" w:rsidRPr="00D826E2" w:rsidRDefault="00D826E2" w:rsidP="00755B86">
            <w:pPr>
              <w:rPr>
                <w:rFonts w:ascii="Arial" w:hAnsi="Arial" w:cs="Arial"/>
                <w:b/>
                <w:bCs/>
              </w:rPr>
            </w:pPr>
            <w:r w:rsidRPr="00D826E2">
              <w:rPr>
                <w:rFonts w:ascii="Arial" w:hAnsi="Arial" w:cs="Arial"/>
                <w:b/>
                <w:bCs/>
                <w:noProof/>
              </w:rPr>
              <w:drawing>
                <wp:inline distT="0" distB="0" distL="0" distR="0" wp14:anchorId="007BA4F4" wp14:editId="02FE23F9">
                  <wp:extent cx="2669398" cy="2159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09" t="36636" r="43895" b="24838"/>
                          <a:stretch/>
                        </pic:blipFill>
                        <pic:spPr bwMode="auto">
                          <a:xfrm>
                            <a:off x="0" y="0"/>
                            <a:ext cx="2714605" cy="2196490"/>
                          </a:xfrm>
                          <a:prstGeom prst="rect">
                            <a:avLst/>
                          </a:prstGeom>
                          <a:ln>
                            <a:noFill/>
                          </a:ln>
                          <a:extLst>
                            <a:ext uri="{53640926-AAD7-44D8-BBD7-CCE9431645EC}">
                              <a14:shadowObscured xmlns:a14="http://schemas.microsoft.com/office/drawing/2010/main"/>
                            </a:ext>
                          </a:extLst>
                        </pic:spPr>
                      </pic:pic>
                    </a:graphicData>
                  </a:graphic>
                </wp:inline>
              </w:drawing>
            </w:r>
            <w:r w:rsidRPr="00D826E2">
              <w:rPr>
                <w:rFonts w:ascii="Arial" w:hAnsi="Arial" w:cs="Arial"/>
                <w:b/>
                <w:bCs/>
                <w:noProof/>
              </w:rPr>
              <w:drawing>
                <wp:inline distT="0" distB="0" distL="0" distR="0" wp14:anchorId="53674F5A" wp14:editId="586F9DCA">
                  <wp:extent cx="2564296" cy="20039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07" t="36636" r="38976" b="20583"/>
                          <a:stretch/>
                        </pic:blipFill>
                        <pic:spPr bwMode="auto">
                          <a:xfrm>
                            <a:off x="0" y="0"/>
                            <a:ext cx="2597576" cy="2029920"/>
                          </a:xfrm>
                          <a:prstGeom prst="rect">
                            <a:avLst/>
                          </a:prstGeom>
                          <a:ln>
                            <a:noFill/>
                          </a:ln>
                          <a:extLst>
                            <a:ext uri="{53640926-AAD7-44D8-BBD7-CCE9431645EC}">
                              <a14:shadowObscured xmlns:a14="http://schemas.microsoft.com/office/drawing/2010/main"/>
                            </a:ext>
                          </a:extLst>
                        </pic:spPr>
                      </pic:pic>
                    </a:graphicData>
                  </a:graphic>
                </wp:inline>
              </w:drawing>
            </w:r>
            <w:r w:rsidRPr="00D826E2">
              <w:rPr>
                <w:rStyle w:val="FootnoteReference"/>
                <w:rFonts w:ascii="Arial" w:hAnsi="Arial" w:cs="Arial"/>
                <w:b/>
                <w:bCs/>
              </w:rPr>
              <w:footnoteReference w:id="4"/>
            </w:r>
          </w:p>
        </w:tc>
      </w:tr>
      <w:tr w:rsidR="00D826E2" w:rsidRPr="00D826E2" w14:paraId="00B8E9B8" w14:textId="77777777" w:rsidTr="001D601A">
        <w:trPr>
          <w:trHeight w:val="4099"/>
        </w:trPr>
        <w:tc>
          <w:tcPr>
            <w:tcW w:w="9016" w:type="dxa"/>
          </w:tcPr>
          <w:p w14:paraId="67B2AD58" w14:textId="2635ADB9" w:rsidR="00D826E2" w:rsidRPr="00D826E2" w:rsidRDefault="00D826E2" w:rsidP="00D826E2">
            <w:pPr>
              <w:rPr>
                <w:rFonts w:ascii="Arial" w:hAnsi="Arial" w:cs="Arial"/>
                <w:b/>
                <w:bCs/>
              </w:rPr>
            </w:pPr>
            <w:r w:rsidRPr="00D826E2">
              <w:rPr>
                <w:rFonts w:ascii="Arial" w:hAnsi="Arial" w:cs="Arial"/>
                <w:b/>
                <w:bCs/>
                <w:noProof/>
              </w:rPr>
              <w:drawing>
                <wp:inline distT="0" distB="0" distL="0" distR="0" wp14:anchorId="4CB102CD" wp14:editId="32B674C3">
                  <wp:extent cx="2735508" cy="227520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914" t="37345" r="42433" b="21765"/>
                          <a:stretch/>
                        </pic:blipFill>
                        <pic:spPr bwMode="auto">
                          <a:xfrm>
                            <a:off x="0" y="0"/>
                            <a:ext cx="2765180" cy="2299884"/>
                          </a:xfrm>
                          <a:prstGeom prst="rect">
                            <a:avLst/>
                          </a:prstGeom>
                          <a:ln>
                            <a:noFill/>
                          </a:ln>
                          <a:extLst>
                            <a:ext uri="{53640926-AAD7-44D8-BBD7-CCE9431645EC}">
                              <a14:shadowObscured xmlns:a14="http://schemas.microsoft.com/office/drawing/2010/main"/>
                            </a:ext>
                          </a:extLst>
                        </pic:spPr>
                      </pic:pic>
                    </a:graphicData>
                  </a:graphic>
                </wp:inline>
              </w:drawing>
            </w:r>
            <w:r w:rsidRPr="00D826E2">
              <w:rPr>
                <w:rFonts w:ascii="Arial" w:hAnsi="Arial" w:cs="Arial"/>
                <w:b/>
                <w:bCs/>
                <w:noProof/>
              </w:rPr>
              <w:drawing>
                <wp:inline distT="0" distB="0" distL="0" distR="0" wp14:anchorId="570D13B7" wp14:editId="2BBA283A">
                  <wp:extent cx="2789736"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67" t="38291" r="41370" b="23420"/>
                          <a:stretch/>
                        </pic:blipFill>
                        <pic:spPr bwMode="auto">
                          <a:xfrm>
                            <a:off x="0" y="0"/>
                            <a:ext cx="2801217" cy="2466288"/>
                          </a:xfrm>
                          <a:prstGeom prst="rect">
                            <a:avLst/>
                          </a:prstGeom>
                          <a:ln>
                            <a:noFill/>
                          </a:ln>
                          <a:extLst>
                            <a:ext uri="{53640926-AAD7-44D8-BBD7-CCE9431645EC}">
                              <a14:shadowObscured xmlns:a14="http://schemas.microsoft.com/office/drawing/2010/main"/>
                            </a:ext>
                          </a:extLst>
                        </pic:spPr>
                      </pic:pic>
                    </a:graphicData>
                  </a:graphic>
                </wp:inline>
              </w:drawing>
            </w:r>
            <w:r w:rsidRPr="00D826E2">
              <w:rPr>
                <w:rStyle w:val="FootnoteReference"/>
                <w:rFonts w:ascii="Arial" w:hAnsi="Arial" w:cs="Arial"/>
                <w:b/>
                <w:bCs/>
              </w:rPr>
              <w:footnoteReference w:id="5"/>
            </w:r>
          </w:p>
          <w:p w14:paraId="6B56EC6C" w14:textId="77777777" w:rsidR="00D826E2" w:rsidRPr="00D826E2" w:rsidRDefault="00D826E2" w:rsidP="00755B86">
            <w:pPr>
              <w:rPr>
                <w:rFonts w:ascii="Arial" w:hAnsi="Arial" w:cs="Arial"/>
                <w:b/>
                <w:bCs/>
                <w:noProof/>
              </w:rPr>
            </w:pPr>
          </w:p>
        </w:tc>
      </w:tr>
      <w:tr w:rsidR="00D826E2" w:rsidRPr="00D826E2" w14:paraId="34E16AE2" w14:textId="77777777" w:rsidTr="001D601A">
        <w:trPr>
          <w:trHeight w:val="3493"/>
        </w:trPr>
        <w:tc>
          <w:tcPr>
            <w:tcW w:w="9016" w:type="dxa"/>
          </w:tcPr>
          <w:p w14:paraId="6D1F2BEC" w14:textId="4EBFD76A" w:rsidR="00D826E2" w:rsidRPr="00D826E2" w:rsidRDefault="00D826E2" w:rsidP="00D826E2">
            <w:pPr>
              <w:rPr>
                <w:rFonts w:ascii="Arial" w:hAnsi="Arial" w:cs="Arial"/>
                <w:b/>
                <w:bCs/>
              </w:rPr>
            </w:pPr>
            <w:r w:rsidRPr="00D826E2">
              <w:rPr>
                <w:rFonts w:ascii="Arial" w:hAnsi="Arial" w:cs="Arial"/>
                <w:b/>
                <w:bCs/>
                <w:noProof/>
              </w:rPr>
              <w:drawing>
                <wp:inline distT="0" distB="0" distL="0" distR="0" wp14:anchorId="5FE4FBA9" wp14:editId="0257D146">
                  <wp:extent cx="2339009" cy="1837076"/>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839" t="33091" r="36185" b="23656"/>
                          <a:stretch/>
                        </pic:blipFill>
                        <pic:spPr bwMode="auto">
                          <a:xfrm>
                            <a:off x="0" y="0"/>
                            <a:ext cx="2360756" cy="1854156"/>
                          </a:xfrm>
                          <a:prstGeom prst="rect">
                            <a:avLst/>
                          </a:prstGeom>
                          <a:ln>
                            <a:noFill/>
                          </a:ln>
                          <a:extLst>
                            <a:ext uri="{53640926-AAD7-44D8-BBD7-CCE9431645EC}">
                              <a14:shadowObscured xmlns:a14="http://schemas.microsoft.com/office/drawing/2010/main"/>
                            </a:ext>
                          </a:extLst>
                        </pic:spPr>
                      </pic:pic>
                    </a:graphicData>
                  </a:graphic>
                </wp:inline>
              </w:drawing>
            </w:r>
            <w:r w:rsidRPr="00D826E2">
              <w:rPr>
                <w:rFonts w:ascii="Arial" w:hAnsi="Arial" w:cs="Arial"/>
                <w:b/>
                <w:bCs/>
                <w:noProof/>
              </w:rPr>
              <w:drawing>
                <wp:inline distT="0" distB="0" distL="0" distR="0" wp14:anchorId="43C50CE9" wp14:editId="6A41FA29">
                  <wp:extent cx="2703443" cy="1804627"/>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700" t="33799" r="30468" b="22711"/>
                          <a:stretch/>
                        </pic:blipFill>
                        <pic:spPr bwMode="auto">
                          <a:xfrm>
                            <a:off x="0" y="0"/>
                            <a:ext cx="2742192" cy="1830493"/>
                          </a:xfrm>
                          <a:prstGeom prst="rect">
                            <a:avLst/>
                          </a:prstGeom>
                          <a:ln>
                            <a:noFill/>
                          </a:ln>
                          <a:extLst>
                            <a:ext uri="{53640926-AAD7-44D8-BBD7-CCE9431645EC}">
                              <a14:shadowObscured xmlns:a14="http://schemas.microsoft.com/office/drawing/2010/main"/>
                            </a:ext>
                          </a:extLst>
                        </pic:spPr>
                      </pic:pic>
                    </a:graphicData>
                  </a:graphic>
                </wp:inline>
              </w:drawing>
            </w:r>
            <w:r w:rsidRPr="00D826E2">
              <w:rPr>
                <w:rStyle w:val="FootnoteReference"/>
                <w:rFonts w:ascii="Arial" w:hAnsi="Arial" w:cs="Arial"/>
                <w:b/>
                <w:bCs/>
              </w:rPr>
              <w:footnoteReference w:id="6"/>
            </w:r>
          </w:p>
          <w:p w14:paraId="12DFF5B2" w14:textId="77777777" w:rsidR="00D826E2" w:rsidRPr="00D826E2" w:rsidRDefault="00D826E2" w:rsidP="00D826E2">
            <w:pPr>
              <w:rPr>
                <w:rFonts w:ascii="Arial" w:hAnsi="Arial" w:cs="Arial"/>
                <w:b/>
                <w:bCs/>
                <w:noProof/>
              </w:rPr>
            </w:pPr>
          </w:p>
        </w:tc>
      </w:tr>
    </w:tbl>
    <w:p w14:paraId="79F49B07" w14:textId="77777777" w:rsidR="001A7B70" w:rsidRDefault="001D601A" w:rsidP="00D826E2">
      <w:pPr>
        <w:autoSpaceDE w:val="0"/>
        <w:autoSpaceDN w:val="0"/>
        <w:adjustRightInd w:val="0"/>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17740EA" w14:textId="77777777" w:rsidR="001A7B70" w:rsidRDefault="001A7B70" w:rsidP="00D826E2">
      <w:pPr>
        <w:autoSpaceDE w:val="0"/>
        <w:autoSpaceDN w:val="0"/>
        <w:adjustRightInd w:val="0"/>
        <w:spacing w:after="0" w:line="240" w:lineRule="auto"/>
        <w:rPr>
          <w:rFonts w:ascii="Arial" w:hAnsi="Arial" w:cs="Arial"/>
        </w:rPr>
      </w:pPr>
    </w:p>
    <w:p w14:paraId="0261C703" w14:textId="77777777" w:rsidR="001A7B70" w:rsidRDefault="001A7B70" w:rsidP="00D826E2">
      <w:pPr>
        <w:autoSpaceDE w:val="0"/>
        <w:autoSpaceDN w:val="0"/>
        <w:adjustRightInd w:val="0"/>
        <w:spacing w:after="0" w:line="240" w:lineRule="auto"/>
        <w:rPr>
          <w:rFonts w:ascii="Arial" w:hAnsi="Arial" w:cs="Arial"/>
        </w:rPr>
      </w:pPr>
    </w:p>
    <w:p w14:paraId="6E2FA9D3" w14:textId="5701FD5D" w:rsidR="001D601A" w:rsidRDefault="001D601A" w:rsidP="001A7B70">
      <w:pPr>
        <w:autoSpaceDE w:val="0"/>
        <w:autoSpaceDN w:val="0"/>
        <w:adjustRightInd w:val="0"/>
        <w:spacing w:after="0" w:line="240" w:lineRule="auto"/>
        <w:ind w:left="2880" w:firstLine="720"/>
        <w:rPr>
          <w:rFonts w:ascii="Arial" w:hAnsi="Arial" w:cs="Arial"/>
        </w:rPr>
      </w:pPr>
      <w:r>
        <w:rPr>
          <w:rFonts w:ascii="Arial" w:hAnsi="Arial" w:cs="Arial"/>
        </w:rPr>
        <w:t>Table 3 Distance Metric</w:t>
      </w:r>
    </w:p>
    <w:tbl>
      <w:tblPr>
        <w:tblpPr w:leftFromText="180" w:rightFromText="180" w:vertAnchor="text" w:horzAnchor="margin" w:tblpY="20"/>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4973"/>
      </w:tblGrid>
      <w:tr w:rsidR="001D601A" w14:paraId="60689209" w14:textId="77777777" w:rsidTr="001A7B70">
        <w:trPr>
          <w:trHeight w:val="573"/>
        </w:trPr>
        <w:tc>
          <w:tcPr>
            <w:tcW w:w="4552" w:type="dxa"/>
          </w:tcPr>
          <w:p w14:paraId="64B8D932" w14:textId="36D1709E" w:rsidR="001D601A" w:rsidRPr="001D601A" w:rsidRDefault="001D601A" w:rsidP="001D601A">
            <w:pPr>
              <w:autoSpaceDE w:val="0"/>
              <w:autoSpaceDN w:val="0"/>
              <w:adjustRightInd w:val="0"/>
              <w:spacing w:after="0" w:line="240" w:lineRule="auto"/>
              <w:rPr>
                <w:rFonts w:ascii="Arial" w:hAnsi="Arial" w:cs="Arial"/>
              </w:rPr>
            </w:pPr>
            <w:r w:rsidRPr="001D601A">
              <w:rPr>
                <w:rFonts w:ascii="Arial" w:hAnsi="Arial" w:cs="Arial"/>
              </w:rPr>
              <w:t>Distance for Left MI (TE and NTE@0.025) of Subject 6 is 0.83</w:t>
            </w:r>
          </w:p>
          <w:p w14:paraId="5BA3A1CF" w14:textId="77777777" w:rsidR="001D601A" w:rsidRPr="001D601A" w:rsidRDefault="001D601A" w:rsidP="001A7B70">
            <w:pPr>
              <w:autoSpaceDE w:val="0"/>
              <w:autoSpaceDN w:val="0"/>
              <w:adjustRightInd w:val="0"/>
              <w:spacing w:after="0" w:line="240" w:lineRule="auto"/>
              <w:rPr>
                <w:rFonts w:ascii="Arial" w:hAnsi="Arial" w:cs="Arial"/>
              </w:rPr>
            </w:pPr>
          </w:p>
        </w:tc>
        <w:tc>
          <w:tcPr>
            <w:tcW w:w="4973" w:type="dxa"/>
          </w:tcPr>
          <w:p w14:paraId="6706F9B3" w14:textId="77777777" w:rsidR="001D601A" w:rsidRPr="001D601A" w:rsidRDefault="001D601A" w:rsidP="001D601A">
            <w:pPr>
              <w:autoSpaceDE w:val="0"/>
              <w:autoSpaceDN w:val="0"/>
              <w:adjustRightInd w:val="0"/>
              <w:spacing w:after="0" w:line="240" w:lineRule="auto"/>
              <w:ind w:left="52"/>
              <w:rPr>
                <w:rFonts w:ascii="Arial" w:hAnsi="Arial" w:cs="Arial"/>
              </w:rPr>
            </w:pPr>
            <w:r w:rsidRPr="001D601A">
              <w:rPr>
                <w:rFonts w:ascii="Arial" w:hAnsi="Arial" w:cs="Arial"/>
              </w:rPr>
              <w:t>Distance for Right MI (TE and NTE@0.025) of Subject 6 is 0.24</w:t>
            </w:r>
          </w:p>
          <w:p w14:paraId="2F836FE6" w14:textId="36754732" w:rsidR="001D601A" w:rsidRPr="001D601A" w:rsidRDefault="001D601A" w:rsidP="001D601A">
            <w:pPr>
              <w:autoSpaceDE w:val="0"/>
              <w:autoSpaceDN w:val="0"/>
              <w:adjustRightInd w:val="0"/>
              <w:spacing w:after="0" w:line="240" w:lineRule="auto"/>
              <w:ind w:left="52"/>
              <w:rPr>
                <w:rFonts w:ascii="Arial" w:hAnsi="Arial" w:cs="Arial"/>
              </w:rPr>
            </w:pPr>
          </w:p>
        </w:tc>
      </w:tr>
      <w:tr w:rsidR="001A7B70" w14:paraId="2A1C2812" w14:textId="77777777" w:rsidTr="001A7B70">
        <w:trPr>
          <w:trHeight w:val="573"/>
        </w:trPr>
        <w:tc>
          <w:tcPr>
            <w:tcW w:w="4552" w:type="dxa"/>
          </w:tcPr>
          <w:p w14:paraId="4B58E9B3" w14:textId="77777777" w:rsidR="001A7B70" w:rsidRPr="001D601A" w:rsidRDefault="001A7B70" w:rsidP="001A7B70">
            <w:pPr>
              <w:autoSpaceDE w:val="0"/>
              <w:autoSpaceDN w:val="0"/>
              <w:adjustRightInd w:val="0"/>
              <w:spacing w:after="0" w:line="240" w:lineRule="auto"/>
              <w:rPr>
                <w:rFonts w:ascii="Arial" w:hAnsi="Arial" w:cs="Arial"/>
              </w:rPr>
            </w:pPr>
            <w:r w:rsidRPr="001D601A">
              <w:rPr>
                <w:rFonts w:ascii="Arial" w:hAnsi="Arial" w:cs="Arial"/>
              </w:rPr>
              <w:t>Distance for Left MI (TE and NTE@0.03) of Subject 6 is 1.03</w:t>
            </w:r>
          </w:p>
          <w:p w14:paraId="7446ABA7" w14:textId="77777777" w:rsidR="001A7B70" w:rsidRPr="001D601A" w:rsidRDefault="001A7B70" w:rsidP="001D601A">
            <w:pPr>
              <w:autoSpaceDE w:val="0"/>
              <w:autoSpaceDN w:val="0"/>
              <w:adjustRightInd w:val="0"/>
              <w:spacing w:after="0" w:line="240" w:lineRule="auto"/>
              <w:rPr>
                <w:rFonts w:ascii="Arial" w:hAnsi="Arial" w:cs="Arial"/>
              </w:rPr>
            </w:pPr>
          </w:p>
        </w:tc>
        <w:tc>
          <w:tcPr>
            <w:tcW w:w="4973" w:type="dxa"/>
          </w:tcPr>
          <w:p w14:paraId="5634292B" w14:textId="4C391FB5" w:rsidR="001A7B70" w:rsidRPr="001D601A" w:rsidRDefault="001A7B70" w:rsidP="001D601A">
            <w:pPr>
              <w:autoSpaceDE w:val="0"/>
              <w:autoSpaceDN w:val="0"/>
              <w:adjustRightInd w:val="0"/>
              <w:spacing w:after="0" w:line="240" w:lineRule="auto"/>
              <w:ind w:left="52"/>
              <w:rPr>
                <w:rFonts w:ascii="Arial" w:hAnsi="Arial" w:cs="Arial"/>
              </w:rPr>
            </w:pPr>
            <w:r w:rsidRPr="001D601A">
              <w:rPr>
                <w:rFonts w:ascii="Arial" w:hAnsi="Arial" w:cs="Arial"/>
              </w:rPr>
              <w:t>Distance for Right MI (TE and NTE@0.03) of Subject 6 is 0.41</w:t>
            </w:r>
          </w:p>
        </w:tc>
      </w:tr>
      <w:tr w:rsidR="001D601A" w14:paraId="3E9FFA51" w14:textId="77777777" w:rsidTr="001A7B70">
        <w:trPr>
          <w:trHeight w:val="573"/>
        </w:trPr>
        <w:tc>
          <w:tcPr>
            <w:tcW w:w="4552" w:type="dxa"/>
          </w:tcPr>
          <w:p w14:paraId="323D0508" w14:textId="62DFDA46" w:rsidR="001D601A" w:rsidRPr="001D601A" w:rsidRDefault="001D601A" w:rsidP="001D601A">
            <w:pPr>
              <w:autoSpaceDE w:val="0"/>
              <w:autoSpaceDN w:val="0"/>
              <w:adjustRightInd w:val="0"/>
              <w:spacing w:after="0" w:line="240" w:lineRule="auto"/>
              <w:rPr>
                <w:rFonts w:ascii="Arial" w:hAnsi="Arial" w:cs="Arial"/>
              </w:rPr>
            </w:pPr>
            <w:r w:rsidRPr="001D601A">
              <w:rPr>
                <w:rFonts w:ascii="Arial" w:hAnsi="Arial" w:cs="Arial"/>
              </w:rPr>
              <w:t>Distance between left and Right (NTE@0.025) of Subject 6 is 0.6</w:t>
            </w:r>
            <w:r w:rsidR="001A7B70">
              <w:rPr>
                <w:rFonts w:ascii="Arial" w:hAnsi="Arial" w:cs="Arial"/>
              </w:rPr>
              <w:t>5</w:t>
            </w:r>
          </w:p>
        </w:tc>
        <w:tc>
          <w:tcPr>
            <w:tcW w:w="4973" w:type="dxa"/>
          </w:tcPr>
          <w:p w14:paraId="69F6DD98" w14:textId="53C81C12" w:rsidR="001D601A" w:rsidRPr="001D601A" w:rsidRDefault="001D601A" w:rsidP="001D601A">
            <w:pPr>
              <w:autoSpaceDE w:val="0"/>
              <w:autoSpaceDN w:val="0"/>
              <w:adjustRightInd w:val="0"/>
              <w:spacing w:after="0" w:line="240" w:lineRule="auto"/>
              <w:ind w:left="52"/>
              <w:rPr>
                <w:rFonts w:ascii="Arial" w:hAnsi="Arial" w:cs="Arial"/>
              </w:rPr>
            </w:pPr>
            <w:r w:rsidRPr="001D601A">
              <w:rPr>
                <w:rFonts w:ascii="Arial" w:hAnsi="Arial" w:cs="Arial"/>
              </w:rPr>
              <w:t>Distance between left and Right (NTE@0.03) of Subject 6 is 0.7</w:t>
            </w:r>
            <w:r>
              <w:rPr>
                <w:rFonts w:ascii="Arial" w:hAnsi="Arial" w:cs="Arial"/>
              </w:rPr>
              <w:t>8</w:t>
            </w:r>
          </w:p>
        </w:tc>
      </w:tr>
    </w:tbl>
    <w:p w14:paraId="59F6D2DD" w14:textId="77777777" w:rsidR="001D601A" w:rsidRDefault="001D601A" w:rsidP="00D826E2">
      <w:pPr>
        <w:autoSpaceDE w:val="0"/>
        <w:autoSpaceDN w:val="0"/>
        <w:adjustRightInd w:val="0"/>
        <w:spacing w:after="0" w:line="240" w:lineRule="auto"/>
        <w:rPr>
          <w:rFonts w:ascii="Arial" w:hAnsi="Arial" w:cs="Arial"/>
        </w:rPr>
      </w:pPr>
    </w:p>
    <w:p w14:paraId="59E1FAD8" w14:textId="77777777" w:rsidR="001D601A" w:rsidRDefault="001D601A" w:rsidP="00D826E2">
      <w:pPr>
        <w:autoSpaceDE w:val="0"/>
        <w:autoSpaceDN w:val="0"/>
        <w:adjustRightInd w:val="0"/>
        <w:spacing w:after="0" w:line="240" w:lineRule="auto"/>
        <w:rPr>
          <w:rFonts w:ascii="Arial" w:hAnsi="Arial" w:cs="Arial"/>
        </w:rPr>
      </w:pPr>
    </w:p>
    <w:p w14:paraId="259CE7D6" w14:textId="7C1C5E15" w:rsidR="00D826E2" w:rsidRDefault="00D826E2" w:rsidP="00D826E2">
      <w:pPr>
        <w:autoSpaceDE w:val="0"/>
        <w:autoSpaceDN w:val="0"/>
        <w:adjustRightInd w:val="0"/>
        <w:spacing w:after="0" w:line="240" w:lineRule="auto"/>
        <w:rPr>
          <w:rFonts w:ascii="Arial" w:hAnsi="Arial" w:cs="Arial"/>
        </w:rPr>
      </w:pPr>
      <w:r w:rsidRPr="00D826E2">
        <w:rPr>
          <w:rFonts w:ascii="Arial" w:hAnsi="Arial" w:cs="Arial"/>
        </w:rPr>
        <w:t xml:space="preserve">The normalised transfer entropy values for all the subjects lie in [0,1]. I analysed the NTE values by thresholding at 0.025 and at 0.03. Table 2 shows that the effective connections estimated by NTE (0.025 as threshold) share a lot of visual similarities with effective connections estimated by TE. Despite GC being effective in capturing linear dependencies, most of the connections captured by GC are also identified by NTE. The results also imply that NTE is able to capture information consistent to different subjects. </w:t>
      </w:r>
    </w:p>
    <w:p w14:paraId="67523AF9" w14:textId="58AD503A" w:rsidR="001A7B70" w:rsidRDefault="001A7B70" w:rsidP="00D826E2">
      <w:pPr>
        <w:autoSpaceDE w:val="0"/>
        <w:autoSpaceDN w:val="0"/>
        <w:adjustRightInd w:val="0"/>
        <w:spacing w:after="0" w:line="240" w:lineRule="auto"/>
        <w:rPr>
          <w:rFonts w:ascii="Arial" w:hAnsi="Arial" w:cs="Arial"/>
        </w:rPr>
      </w:pPr>
    </w:p>
    <w:p w14:paraId="0BEB9EE2" w14:textId="3339D83F" w:rsidR="001A7B70" w:rsidRPr="00D826E2" w:rsidRDefault="001A7B70" w:rsidP="00D826E2">
      <w:pPr>
        <w:autoSpaceDE w:val="0"/>
        <w:autoSpaceDN w:val="0"/>
        <w:adjustRightInd w:val="0"/>
        <w:spacing w:after="0" w:line="240" w:lineRule="auto"/>
        <w:rPr>
          <w:rFonts w:ascii="Arial" w:hAnsi="Arial" w:cs="Arial"/>
        </w:rPr>
      </w:pPr>
      <w:r>
        <w:rPr>
          <w:rFonts w:ascii="Arial" w:hAnsi="Arial" w:cs="Arial"/>
        </w:rPr>
        <w:t>Table 3 indicates the graph edit distances between the left and right MI graphs of subject 6. The results indicate that NTE</w:t>
      </w:r>
      <w:r w:rsidR="00A8160C">
        <w:rPr>
          <w:rFonts w:ascii="Arial" w:hAnsi="Arial" w:cs="Arial"/>
        </w:rPr>
        <w:t>@</w:t>
      </w:r>
      <w:r>
        <w:rPr>
          <w:rFonts w:ascii="Arial" w:hAnsi="Arial" w:cs="Arial"/>
        </w:rPr>
        <w:t>0.025 produces more consistent information flow graphs and can help in observing the effective connections.</w:t>
      </w:r>
    </w:p>
    <w:p w14:paraId="6678BE9F" w14:textId="4135D971" w:rsidR="00D826E2" w:rsidRPr="00D826E2" w:rsidRDefault="00D826E2" w:rsidP="00D826E2">
      <w:pPr>
        <w:autoSpaceDE w:val="0"/>
        <w:autoSpaceDN w:val="0"/>
        <w:adjustRightInd w:val="0"/>
        <w:spacing w:after="0" w:line="240" w:lineRule="auto"/>
        <w:rPr>
          <w:rFonts w:ascii="Arial" w:hAnsi="Arial" w:cs="Arial"/>
        </w:rPr>
      </w:pPr>
    </w:p>
    <w:p w14:paraId="52024401" w14:textId="0DB613AB" w:rsidR="00D826E2" w:rsidRPr="00D826E2" w:rsidRDefault="00D826E2" w:rsidP="00D826E2">
      <w:pPr>
        <w:pStyle w:val="Heading1"/>
        <w:rPr>
          <w:rFonts w:ascii="Arial" w:eastAsiaTheme="minorEastAsia" w:hAnsi="Arial" w:cs="Arial"/>
        </w:rPr>
      </w:pPr>
      <w:r w:rsidRPr="00D826E2">
        <w:rPr>
          <w:rFonts w:ascii="Arial" w:eastAsiaTheme="minorEastAsia" w:hAnsi="Arial" w:cs="Arial"/>
        </w:rPr>
        <w:t>Future Work</w:t>
      </w:r>
    </w:p>
    <w:p w14:paraId="1D1D38CD" w14:textId="0518D45D" w:rsidR="00D826E2" w:rsidRPr="00D826E2" w:rsidRDefault="00D826E2" w:rsidP="00D826E2">
      <w:pPr>
        <w:autoSpaceDE w:val="0"/>
        <w:autoSpaceDN w:val="0"/>
        <w:adjustRightInd w:val="0"/>
        <w:spacing w:after="0" w:line="240" w:lineRule="auto"/>
        <w:rPr>
          <w:rFonts w:ascii="Arial" w:eastAsiaTheme="minorEastAsia" w:hAnsi="Arial" w:cs="Arial"/>
          <w:b/>
          <w:bCs/>
          <w:sz w:val="28"/>
          <w:szCs w:val="28"/>
        </w:rPr>
      </w:pPr>
    </w:p>
    <w:p w14:paraId="7DFF60B9" w14:textId="17D84667" w:rsidR="00D826E2" w:rsidRPr="00D826E2" w:rsidRDefault="00D826E2" w:rsidP="00D826E2">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The future work aims at generating information flow graphs consistent with all the subjects using NTE as metric</w:t>
      </w:r>
      <w:r w:rsidR="00A8160C">
        <w:rPr>
          <w:rFonts w:ascii="Arial" w:eastAsiaTheme="minorEastAsia" w:hAnsi="Arial" w:cs="Arial"/>
        </w:rPr>
        <w:t xml:space="preserve"> and comparing graph similarities using other metrics.</w:t>
      </w:r>
      <w:r w:rsidRPr="00D826E2">
        <w:rPr>
          <w:rFonts w:ascii="Arial" w:eastAsiaTheme="minorEastAsia" w:hAnsi="Arial" w:cs="Arial"/>
        </w:rPr>
        <w:t xml:space="preserve"> This helps us in analysing prominent information flows in brain during motor imagery tasks and comparing it with standard literature.</w:t>
      </w:r>
    </w:p>
    <w:p w14:paraId="3CBCD4CA" w14:textId="77777777" w:rsidR="00D826E2" w:rsidRPr="00D826E2" w:rsidRDefault="00D826E2" w:rsidP="00D826E2">
      <w:pPr>
        <w:autoSpaceDE w:val="0"/>
        <w:autoSpaceDN w:val="0"/>
        <w:adjustRightInd w:val="0"/>
        <w:spacing w:after="0" w:line="240" w:lineRule="auto"/>
        <w:rPr>
          <w:rFonts w:ascii="Arial" w:eastAsiaTheme="minorEastAsia" w:hAnsi="Arial" w:cs="Arial"/>
          <w:b/>
          <w:bCs/>
          <w:sz w:val="28"/>
          <w:szCs w:val="28"/>
        </w:rPr>
      </w:pPr>
    </w:p>
    <w:sdt>
      <w:sdtPr>
        <w:rPr>
          <w:rFonts w:ascii="Arial" w:eastAsiaTheme="minorHAnsi" w:hAnsi="Arial" w:cs="Arial"/>
          <w:sz w:val="22"/>
          <w:szCs w:val="22"/>
        </w:rPr>
        <w:id w:val="-1294824198"/>
        <w:docPartObj>
          <w:docPartGallery w:val="Bibliographies"/>
          <w:docPartUnique/>
        </w:docPartObj>
      </w:sdtPr>
      <w:sdtEndPr/>
      <w:sdtContent>
        <w:p w14:paraId="2AA946DD" w14:textId="56FC0303" w:rsidR="00D826E2" w:rsidRDefault="00D826E2">
          <w:pPr>
            <w:pStyle w:val="Heading1"/>
            <w:rPr>
              <w:rFonts w:ascii="Arial" w:hAnsi="Arial" w:cs="Arial"/>
            </w:rPr>
          </w:pPr>
          <w:r w:rsidRPr="00D826E2">
            <w:rPr>
              <w:rFonts w:ascii="Arial" w:hAnsi="Arial" w:cs="Arial"/>
            </w:rPr>
            <w:t>References</w:t>
          </w:r>
        </w:p>
        <w:p w14:paraId="1D0C75EA" w14:textId="77777777" w:rsidR="00D826E2" w:rsidRPr="00D826E2" w:rsidRDefault="00D826E2" w:rsidP="00D826E2"/>
        <w:sdt>
          <w:sdtPr>
            <w:rPr>
              <w:rFonts w:ascii="Arial" w:hAnsi="Arial" w:cs="Arial"/>
            </w:rPr>
            <w:id w:val="-573587230"/>
            <w:bibliography/>
          </w:sdtPr>
          <w:sdtEndPr/>
          <w:sdtContent>
            <w:p w14:paraId="12CA4C1C" w14:textId="77777777" w:rsidR="00D826E2" w:rsidRPr="00D826E2" w:rsidRDefault="00D826E2" w:rsidP="00D826E2">
              <w:pPr>
                <w:pStyle w:val="Bibliography"/>
                <w:ind w:left="720" w:hanging="720"/>
                <w:rPr>
                  <w:rFonts w:ascii="Arial" w:hAnsi="Arial" w:cs="Arial"/>
                  <w:noProof/>
                  <w:sz w:val="24"/>
                  <w:szCs w:val="24"/>
                </w:rPr>
              </w:pPr>
              <w:r w:rsidRPr="00D826E2">
                <w:rPr>
                  <w:rFonts w:ascii="Arial" w:hAnsi="Arial" w:cs="Arial"/>
                </w:rPr>
                <w:fldChar w:fldCharType="begin"/>
              </w:r>
              <w:r w:rsidRPr="00D826E2">
                <w:rPr>
                  <w:rFonts w:ascii="Arial" w:hAnsi="Arial" w:cs="Arial"/>
                </w:rPr>
                <w:instrText xml:space="preserve"> BIBLIOGRAPHY </w:instrText>
              </w:r>
              <w:r w:rsidRPr="00D826E2">
                <w:rPr>
                  <w:rFonts w:ascii="Arial" w:hAnsi="Arial" w:cs="Arial"/>
                </w:rPr>
                <w:fldChar w:fldCharType="separate"/>
              </w:r>
              <w:r w:rsidRPr="00D826E2">
                <w:rPr>
                  <w:rFonts w:ascii="Arial" w:hAnsi="Arial" w:cs="Arial"/>
                  <w:noProof/>
                </w:rPr>
                <w:t xml:space="preserve">Barnett L, S. A. (2014). The MVGC multivariate Granger causality toolbox: a new approach to Granger-causal inference. </w:t>
              </w:r>
              <w:r w:rsidRPr="00D826E2">
                <w:rPr>
                  <w:rFonts w:ascii="Arial" w:hAnsi="Arial" w:cs="Arial"/>
                  <w:i/>
                  <w:iCs/>
                  <w:noProof/>
                </w:rPr>
                <w:t>J Neurosci Methods</w:t>
              </w:r>
              <w:r w:rsidRPr="00D826E2">
                <w:rPr>
                  <w:rFonts w:ascii="Arial" w:hAnsi="Arial" w:cs="Arial"/>
                  <w:noProof/>
                </w:rPr>
                <w:t>(10.1016/j.jneumeth.2013.10.018), 50</w:t>
              </w:r>
              <w:r w:rsidRPr="00D826E2">
                <w:rPr>
                  <w:rFonts w:ascii="Cambria Math" w:hAnsi="Cambria Math" w:cs="Cambria Math"/>
                  <w:noProof/>
                </w:rPr>
                <w:t>‐</w:t>
              </w:r>
              <w:r w:rsidRPr="00D826E2">
                <w:rPr>
                  <w:rFonts w:ascii="Arial" w:hAnsi="Arial" w:cs="Arial"/>
                  <w:noProof/>
                </w:rPr>
                <w:t>68.</w:t>
              </w:r>
            </w:p>
            <w:p w14:paraId="75D68AF0"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C. Brunner, R. L.-P. (n.d.). </w:t>
              </w:r>
              <w:r w:rsidRPr="00D826E2">
                <w:rPr>
                  <w:rFonts w:ascii="Arial" w:hAnsi="Arial" w:cs="Arial"/>
                  <w:i/>
                  <w:iCs/>
                  <w:noProof/>
                </w:rPr>
                <w:t>Bnci-horizon-2020.</w:t>
              </w:r>
              <w:r w:rsidRPr="00D826E2">
                <w:rPr>
                  <w:rFonts w:ascii="Arial" w:hAnsi="Arial" w:cs="Arial"/>
                  <w:noProof/>
                </w:rPr>
                <w:t xml:space="preserve"> Retrieved from BCI competition 2008 - graz data set a.: http://bnci-horizon-2020.eu/database/data-sets</w:t>
              </w:r>
            </w:p>
            <w:p w14:paraId="429CFEF1"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Gourévitch, B. a. (2007). Evaluating information transfer. </w:t>
              </w:r>
              <w:r w:rsidRPr="00D826E2">
                <w:rPr>
                  <w:rFonts w:ascii="Arial" w:hAnsi="Arial" w:cs="Arial"/>
                  <w:i/>
                  <w:iCs/>
                  <w:noProof/>
                </w:rPr>
                <w:t>Neurophysiol</w:t>
              </w:r>
              <w:r w:rsidRPr="00D826E2">
                <w:rPr>
                  <w:rFonts w:ascii="Arial" w:hAnsi="Arial" w:cs="Arial"/>
                  <w:noProof/>
                </w:rPr>
                <w:t>, 97, 2533–2543.</w:t>
              </w:r>
            </w:p>
            <w:p w14:paraId="1BED30CE"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Granger, C. W. (Aug., 1969). Investigating Causal Relations by Econometric Models and Cross-spectral Methods. </w:t>
              </w:r>
              <w:r w:rsidRPr="00D826E2">
                <w:rPr>
                  <w:rFonts w:ascii="Arial" w:hAnsi="Arial" w:cs="Arial"/>
                  <w:i/>
                  <w:iCs/>
                  <w:noProof/>
                </w:rPr>
                <w:t>Econometrica</w:t>
              </w:r>
              <w:r w:rsidRPr="00D826E2">
                <w:rPr>
                  <w:rFonts w:ascii="Arial" w:hAnsi="Arial" w:cs="Arial"/>
                  <w:noProof/>
                </w:rPr>
                <w:t>, 424-438.</w:t>
              </w:r>
            </w:p>
            <w:p w14:paraId="75760CB9"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Korzeniewska, A. M. (n.d.). Determination of information flow direction among brain structures. </w:t>
              </w:r>
              <w:r w:rsidRPr="00D826E2">
                <w:rPr>
                  <w:rFonts w:ascii="Arial" w:hAnsi="Arial" w:cs="Arial"/>
                  <w:i/>
                  <w:iCs/>
                  <w:noProof/>
                </w:rPr>
                <w:t>J. Neurosci. Methods</w:t>
              </w:r>
              <w:r w:rsidRPr="00D826E2">
                <w:rPr>
                  <w:rFonts w:ascii="Arial" w:hAnsi="Arial" w:cs="Arial"/>
                  <w:noProof/>
                </w:rPr>
                <w:t>, 125, 195–207.</w:t>
              </w:r>
            </w:p>
            <w:p w14:paraId="4CD316C2"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Liang, S. &amp;.-S.-M.-A. (2016). Discrimination of motor imagery tasks via information flow pattern of brain connectivity. </w:t>
              </w:r>
              <w:r w:rsidRPr="00D826E2">
                <w:rPr>
                  <w:rFonts w:ascii="Arial" w:hAnsi="Arial" w:cs="Arial"/>
                  <w:i/>
                  <w:iCs/>
                  <w:noProof/>
                </w:rPr>
                <w:t>Technology and health care : official journal of the European Society for Engineering and Medicine</w:t>
              </w:r>
              <w:r w:rsidRPr="00D826E2">
                <w:rPr>
                  <w:rFonts w:ascii="Arial" w:hAnsi="Arial" w:cs="Arial"/>
                  <w:noProof/>
                </w:rPr>
                <w:t>, 24.</w:t>
              </w:r>
            </w:p>
            <w:p w14:paraId="591CEC90"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Nalatore H, D. M. (2007). Mitigating the effects of measurement noise on Granger causality. </w:t>
              </w:r>
              <w:r w:rsidRPr="00D826E2">
                <w:rPr>
                  <w:rFonts w:ascii="Arial" w:hAnsi="Arial" w:cs="Arial"/>
                  <w:i/>
                  <w:iCs/>
                  <w:noProof/>
                </w:rPr>
                <w:t>Phys Rev E Stat Nonlin Soft Matter Phys</w:t>
              </w:r>
              <w:r w:rsidRPr="00D826E2">
                <w:rPr>
                  <w:rFonts w:ascii="Arial" w:hAnsi="Arial" w:cs="Arial"/>
                  <w:noProof/>
                </w:rPr>
                <w:t>.</w:t>
              </w:r>
            </w:p>
            <w:p w14:paraId="45AC3338"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Neymotin, S. &amp;. (2011). Synaptic information transfer in computer models of neocortical columns. </w:t>
              </w:r>
              <w:r w:rsidRPr="00D826E2">
                <w:rPr>
                  <w:rFonts w:ascii="Arial" w:hAnsi="Arial" w:cs="Arial"/>
                  <w:i/>
                  <w:iCs/>
                  <w:noProof/>
                </w:rPr>
                <w:t>Journal of computational neuroscience</w:t>
              </w:r>
              <w:r w:rsidRPr="00D826E2">
                <w:rPr>
                  <w:rFonts w:ascii="Arial" w:hAnsi="Arial" w:cs="Arial"/>
                  <w:noProof/>
                </w:rPr>
                <w:t>, 69-84.</w:t>
              </w:r>
            </w:p>
            <w:p w14:paraId="7A35BC30"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P. Wollstadt, J. T.-Z. (2018). IDTxl: The Information Dynamics Toolkit xl: a Python package for the efficient analysis of multivariate information dynamics in networks. </w:t>
              </w:r>
              <w:r w:rsidRPr="00D826E2">
                <w:rPr>
                  <w:rFonts w:ascii="Arial" w:hAnsi="Arial" w:cs="Arial"/>
                  <w:i/>
                  <w:iCs/>
                  <w:noProof/>
                </w:rPr>
                <w:t>Journal of Open Source Software, 4(34)</w:t>
              </w:r>
              <w:r w:rsidRPr="00D826E2">
                <w:rPr>
                  <w:rFonts w:ascii="Arial" w:hAnsi="Arial" w:cs="Arial"/>
                  <w:noProof/>
                </w:rPr>
                <w:t>, 1081.</w:t>
              </w:r>
            </w:p>
            <w:p w14:paraId="7A817D43"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S. Sabesan, L. B. (2009). Information Flow and Application to Epileptogenic Focus Localization From Intracranial EEG. </w:t>
              </w:r>
              <w:r w:rsidRPr="00D826E2">
                <w:rPr>
                  <w:rFonts w:ascii="Arial" w:hAnsi="Arial" w:cs="Arial"/>
                  <w:i/>
                  <w:iCs/>
                  <w:noProof/>
                </w:rPr>
                <w:t>IEEE Transactions on Neural Systems and Rehabilitation Engineering, 17</w:t>
              </w:r>
              <w:r w:rsidRPr="00D826E2">
                <w:rPr>
                  <w:rFonts w:ascii="Arial" w:hAnsi="Arial" w:cs="Arial"/>
                  <w:noProof/>
                </w:rPr>
                <w:t>(3), 244-253.</w:t>
              </w:r>
            </w:p>
            <w:p w14:paraId="54AF6F0C"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Schreiber, T. (2000). Measuring information transfer. </w:t>
              </w:r>
              <w:r w:rsidRPr="00D826E2">
                <w:rPr>
                  <w:rFonts w:ascii="Arial" w:hAnsi="Arial" w:cs="Arial"/>
                  <w:i/>
                  <w:iCs/>
                  <w:noProof/>
                </w:rPr>
                <w:t>Physical Review Letters</w:t>
              </w:r>
              <w:r w:rsidRPr="00D826E2">
                <w:rPr>
                  <w:rFonts w:ascii="Arial" w:hAnsi="Arial" w:cs="Arial"/>
                  <w:noProof/>
                </w:rPr>
                <w:t>, 461–464.</w:t>
              </w:r>
            </w:p>
            <w:p w14:paraId="6943F500"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Seth AK, B. A. (2015). Granger causality analysis in neuroscience and neuroimaging. </w:t>
              </w:r>
              <w:r w:rsidRPr="00D826E2">
                <w:rPr>
                  <w:rFonts w:ascii="Arial" w:hAnsi="Arial" w:cs="Arial"/>
                  <w:i/>
                  <w:iCs/>
                  <w:noProof/>
                </w:rPr>
                <w:t>J Neurosci, 35(8)</w:t>
              </w:r>
              <w:r w:rsidRPr="00D826E2">
                <w:rPr>
                  <w:rFonts w:ascii="Arial" w:hAnsi="Arial" w:cs="Arial"/>
                  <w:noProof/>
                </w:rPr>
                <w:t>, 3293</w:t>
              </w:r>
              <w:r w:rsidRPr="00D826E2">
                <w:rPr>
                  <w:rFonts w:ascii="Cambria Math" w:hAnsi="Cambria Math" w:cs="Cambria Math"/>
                  <w:noProof/>
                </w:rPr>
                <w:t>‐</w:t>
              </w:r>
              <w:r w:rsidRPr="00D826E2">
                <w:rPr>
                  <w:rFonts w:ascii="Arial" w:hAnsi="Arial" w:cs="Arial"/>
                  <w:noProof/>
                </w:rPr>
                <w:t>3297.</w:t>
              </w:r>
            </w:p>
            <w:p w14:paraId="6F1AF270"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Shovon, M. H. (2014). Towards a Cognitive Metric using Normalized Transfer Entropy. </w:t>
              </w:r>
              <w:r w:rsidRPr="00D826E2">
                <w:rPr>
                  <w:rFonts w:ascii="Arial" w:hAnsi="Arial" w:cs="Arial"/>
                  <w:i/>
                  <w:iCs/>
                  <w:noProof/>
                </w:rPr>
                <w:t>ASE BigData/SocialInformatics/PASSAT/BioMedCom 2014 Conference, Harvard University.</w:t>
              </w:r>
              <w:r w:rsidRPr="00D826E2">
                <w:rPr>
                  <w:rFonts w:ascii="Arial" w:hAnsi="Arial" w:cs="Arial"/>
                  <w:noProof/>
                </w:rPr>
                <w:t xml:space="preserve"> </w:t>
              </w:r>
            </w:p>
            <w:p w14:paraId="77D3B309" w14:textId="77777777" w:rsidR="00D826E2" w:rsidRPr="00D826E2" w:rsidRDefault="00D826E2" w:rsidP="00D826E2">
              <w:pPr>
                <w:pStyle w:val="Bibliography"/>
                <w:ind w:left="720" w:hanging="720"/>
                <w:rPr>
                  <w:rFonts w:ascii="Arial" w:hAnsi="Arial" w:cs="Arial"/>
                  <w:noProof/>
                </w:rPr>
              </w:pPr>
              <w:r w:rsidRPr="00D826E2">
                <w:rPr>
                  <w:rFonts w:ascii="Arial" w:hAnsi="Arial" w:cs="Arial"/>
                  <w:noProof/>
                </w:rPr>
                <w:t xml:space="preserve">Vicente R, W. M. (2011). Transfer entropy--a model-free measure of effective connectivity for the neurosciences. </w:t>
              </w:r>
              <w:r w:rsidRPr="00D826E2">
                <w:rPr>
                  <w:rFonts w:ascii="Arial" w:hAnsi="Arial" w:cs="Arial"/>
                  <w:i/>
                  <w:iCs/>
                  <w:noProof/>
                </w:rPr>
                <w:t xml:space="preserve">J Comput Neurosci. </w:t>
              </w:r>
              <w:r w:rsidRPr="00D826E2">
                <w:rPr>
                  <w:rFonts w:ascii="Arial" w:hAnsi="Arial" w:cs="Arial"/>
                  <w:noProof/>
                </w:rPr>
                <w:t>, 30(1):45</w:t>
              </w:r>
              <w:r w:rsidRPr="00D826E2">
                <w:rPr>
                  <w:rFonts w:ascii="Cambria Math" w:hAnsi="Cambria Math" w:cs="Cambria Math"/>
                  <w:noProof/>
                </w:rPr>
                <w:t>‐</w:t>
              </w:r>
              <w:r w:rsidRPr="00D826E2">
                <w:rPr>
                  <w:rFonts w:ascii="Arial" w:hAnsi="Arial" w:cs="Arial"/>
                  <w:noProof/>
                </w:rPr>
                <w:t>67.</w:t>
              </w:r>
            </w:p>
            <w:p w14:paraId="3B1060E1" w14:textId="27DFC439" w:rsidR="00D826E2" w:rsidRPr="00D826E2" w:rsidRDefault="00D826E2" w:rsidP="00D826E2">
              <w:pPr>
                <w:rPr>
                  <w:rFonts w:ascii="Arial" w:hAnsi="Arial" w:cs="Arial"/>
                </w:rPr>
              </w:pPr>
              <w:r w:rsidRPr="00D826E2">
                <w:rPr>
                  <w:rFonts w:ascii="Arial" w:hAnsi="Arial" w:cs="Arial"/>
                  <w:b/>
                  <w:bCs/>
                  <w:noProof/>
                </w:rPr>
                <w:fldChar w:fldCharType="end"/>
              </w:r>
            </w:p>
          </w:sdtContent>
        </w:sdt>
      </w:sdtContent>
    </w:sdt>
    <w:p w14:paraId="249796A1" w14:textId="28F43C5F" w:rsidR="00D826E2" w:rsidRPr="00D826E2" w:rsidRDefault="00D826E2" w:rsidP="00D826E2">
      <w:pPr>
        <w:autoSpaceDE w:val="0"/>
        <w:autoSpaceDN w:val="0"/>
        <w:adjustRightInd w:val="0"/>
        <w:spacing w:after="0" w:line="240" w:lineRule="auto"/>
        <w:rPr>
          <w:rFonts w:ascii="Arial" w:eastAsiaTheme="minorEastAsia" w:hAnsi="Arial" w:cs="Arial"/>
        </w:rPr>
      </w:pPr>
      <w:r w:rsidRPr="00D826E2">
        <w:rPr>
          <w:rFonts w:ascii="Arial" w:eastAsiaTheme="minorEastAsia" w:hAnsi="Arial" w:cs="Arial"/>
        </w:rPr>
        <w:t xml:space="preserve"> </w:t>
      </w:r>
    </w:p>
    <w:p w14:paraId="49E38B4F" w14:textId="77777777" w:rsidR="00D826E2" w:rsidRPr="00D826E2" w:rsidRDefault="00D826E2" w:rsidP="00D826E2">
      <w:pPr>
        <w:autoSpaceDE w:val="0"/>
        <w:autoSpaceDN w:val="0"/>
        <w:adjustRightInd w:val="0"/>
        <w:spacing w:after="0" w:line="240" w:lineRule="auto"/>
        <w:rPr>
          <w:rFonts w:ascii="Arial" w:hAnsi="Arial" w:cs="Arial"/>
        </w:rPr>
      </w:pPr>
    </w:p>
    <w:sectPr w:rsidR="00D826E2" w:rsidRPr="00D826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A9EB8" w14:textId="77777777" w:rsidR="00EA2B32" w:rsidRDefault="00EA2B32" w:rsidP="00FE77E8">
      <w:pPr>
        <w:spacing w:after="0" w:line="240" w:lineRule="auto"/>
      </w:pPr>
      <w:r>
        <w:separator/>
      </w:r>
    </w:p>
  </w:endnote>
  <w:endnote w:type="continuationSeparator" w:id="0">
    <w:p w14:paraId="10FADC08" w14:textId="77777777" w:rsidR="00EA2B32" w:rsidRDefault="00EA2B32" w:rsidP="00FE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83B54" w14:textId="77777777" w:rsidR="00EA2B32" w:rsidRDefault="00EA2B32" w:rsidP="00FE77E8">
      <w:pPr>
        <w:spacing w:after="0" w:line="240" w:lineRule="auto"/>
      </w:pPr>
      <w:r>
        <w:separator/>
      </w:r>
    </w:p>
  </w:footnote>
  <w:footnote w:type="continuationSeparator" w:id="0">
    <w:p w14:paraId="6AD305CF" w14:textId="77777777" w:rsidR="00EA2B32" w:rsidRDefault="00EA2B32" w:rsidP="00FE77E8">
      <w:pPr>
        <w:spacing w:after="0" w:line="240" w:lineRule="auto"/>
      </w:pPr>
      <w:r>
        <w:continuationSeparator/>
      </w:r>
    </w:p>
  </w:footnote>
  <w:footnote w:id="1">
    <w:p w14:paraId="5BFD16C5" w14:textId="77777777" w:rsidR="00D826E2" w:rsidRDefault="00D826E2" w:rsidP="00D826E2">
      <w:pPr>
        <w:pStyle w:val="Footer"/>
      </w:pPr>
      <w:r>
        <w:rPr>
          <w:rStyle w:val="FootnoteReference"/>
        </w:rPr>
        <w:footnoteRef/>
      </w:r>
      <w:r>
        <w:t xml:space="preserve"> Granger Causality Analysis on 8-30 Hz band passed data gave non positive covariance matrix and hence Auto Regressive models can’t be estimated. Thus, data is passed through high pass filter of 5Hz.</w:t>
      </w:r>
    </w:p>
    <w:p w14:paraId="5F62815B" w14:textId="175F66B3" w:rsidR="00D826E2" w:rsidRDefault="00D826E2">
      <w:pPr>
        <w:pStyle w:val="FootnoteText"/>
      </w:pPr>
    </w:p>
  </w:footnote>
  <w:footnote w:id="2">
    <w:p w14:paraId="312C3A75" w14:textId="78C54A83" w:rsidR="00D826E2" w:rsidRDefault="00D826E2">
      <w:pPr>
        <w:pStyle w:val="FootnoteText"/>
      </w:pPr>
      <w:r>
        <w:rPr>
          <w:rStyle w:val="FootnoteReference"/>
        </w:rPr>
        <w:footnoteRef/>
      </w:r>
      <w:r>
        <w:t xml:space="preserve"> Top 10 effective connections estimated by Partial Directed Coherence for subject 6</w:t>
      </w:r>
    </w:p>
  </w:footnote>
  <w:footnote w:id="3">
    <w:p w14:paraId="2D02CAAD" w14:textId="7371E387" w:rsidR="00D826E2" w:rsidRDefault="00D826E2">
      <w:pPr>
        <w:pStyle w:val="FootnoteText"/>
      </w:pPr>
      <w:r>
        <w:rPr>
          <w:rStyle w:val="FootnoteReference"/>
        </w:rPr>
        <w:footnoteRef/>
      </w:r>
      <w:r>
        <w:t xml:space="preserve"> Effective Connections estimated by Transfer Entropy for subject 6</w:t>
      </w:r>
    </w:p>
  </w:footnote>
  <w:footnote w:id="4">
    <w:p w14:paraId="616F4AC5" w14:textId="26BB3114" w:rsidR="00D826E2" w:rsidRDefault="00D826E2">
      <w:pPr>
        <w:pStyle w:val="FootnoteText"/>
      </w:pPr>
      <w:r>
        <w:rPr>
          <w:rStyle w:val="FootnoteReference"/>
        </w:rPr>
        <w:footnoteRef/>
      </w:r>
      <w:r>
        <w:t xml:space="preserve"> Effective Connections estimated by NTE with threshold at 0.25 for subject 6</w:t>
      </w:r>
    </w:p>
  </w:footnote>
  <w:footnote w:id="5">
    <w:p w14:paraId="74564934" w14:textId="7656905F" w:rsidR="00D826E2" w:rsidRDefault="00D826E2">
      <w:pPr>
        <w:pStyle w:val="FootnoteText"/>
      </w:pPr>
      <w:r>
        <w:rPr>
          <w:rStyle w:val="FootnoteReference"/>
        </w:rPr>
        <w:footnoteRef/>
      </w:r>
      <w:r>
        <w:t xml:space="preserve"> Effective Connections estimated by Transfer Entropy for subject 6</w:t>
      </w:r>
    </w:p>
  </w:footnote>
  <w:footnote w:id="6">
    <w:p w14:paraId="30B7E07D" w14:textId="4C4111E1" w:rsidR="00D826E2" w:rsidRDefault="00D826E2">
      <w:pPr>
        <w:pStyle w:val="FootnoteText"/>
      </w:pPr>
      <w:r>
        <w:rPr>
          <w:rStyle w:val="FootnoteReference"/>
        </w:rPr>
        <w:footnoteRef/>
      </w:r>
      <w:r>
        <w:t xml:space="preserve"> Effective Connections estimated by Granger Causality for subject 6</w:t>
      </w:r>
    </w:p>
    <w:p w14:paraId="7757C22C" w14:textId="77777777" w:rsidR="001D601A" w:rsidRDefault="001D601A">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D1"/>
    <w:rsid w:val="000B22B8"/>
    <w:rsid w:val="001118A7"/>
    <w:rsid w:val="001A7B70"/>
    <w:rsid w:val="001D601A"/>
    <w:rsid w:val="00266F9A"/>
    <w:rsid w:val="002A40D1"/>
    <w:rsid w:val="003837A7"/>
    <w:rsid w:val="003A762F"/>
    <w:rsid w:val="00427359"/>
    <w:rsid w:val="007834C4"/>
    <w:rsid w:val="00834356"/>
    <w:rsid w:val="008B43B5"/>
    <w:rsid w:val="00935C24"/>
    <w:rsid w:val="00A22703"/>
    <w:rsid w:val="00A8160C"/>
    <w:rsid w:val="00AE5E2E"/>
    <w:rsid w:val="00B60C1A"/>
    <w:rsid w:val="00C52DEE"/>
    <w:rsid w:val="00D248F7"/>
    <w:rsid w:val="00D53177"/>
    <w:rsid w:val="00D826E2"/>
    <w:rsid w:val="00EA2B32"/>
    <w:rsid w:val="00EF56D0"/>
    <w:rsid w:val="00F16B76"/>
    <w:rsid w:val="00FE3E0F"/>
    <w:rsid w:val="00FE7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09B6"/>
  <w15:chartTrackingRefBased/>
  <w15:docId w15:val="{4A835209-F4EB-4EAE-93D9-15286CC0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DEE"/>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82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40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52DEE"/>
    <w:rPr>
      <w:rFonts w:asciiTheme="majorHAnsi" w:eastAsiaTheme="majorEastAsia" w:hAnsiTheme="majorHAnsi" w:cstheme="majorBidi"/>
      <w:sz w:val="32"/>
      <w:szCs w:val="32"/>
    </w:rPr>
  </w:style>
  <w:style w:type="paragraph" w:styleId="Header">
    <w:name w:val="header"/>
    <w:basedOn w:val="Normal"/>
    <w:link w:val="HeaderChar"/>
    <w:uiPriority w:val="99"/>
    <w:unhideWhenUsed/>
    <w:rsid w:val="00FE77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7E8"/>
  </w:style>
  <w:style w:type="paragraph" w:styleId="Footer">
    <w:name w:val="footer"/>
    <w:basedOn w:val="Normal"/>
    <w:link w:val="FooterChar"/>
    <w:uiPriority w:val="99"/>
    <w:unhideWhenUsed/>
    <w:rsid w:val="00FE77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7E8"/>
  </w:style>
  <w:style w:type="character" w:styleId="PlaceholderText">
    <w:name w:val="Placeholder Text"/>
    <w:basedOn w:val="DefaultParagraphFont"/>
    <w:uiPriority w:val="99"/>
    <w:semiHidden/>
    <w:rsid w:val="00FE3E0F"/>
    <w:rPr>
      <w:color w:val="808080"/>
    </w:rPr>
  </w:style>
  <w:style w:type="paragraph" w:styleId="FootnoteText">
    <w:name w:val="footnote text"/>
    <w:basedOn w:val="Normal"/>
    <w:link w:val="FootnoteTextChar"/>
    <w:uiPriority w:val="99"/>
    <w:semiHidden/>
    <w:unhideWhenUsed/>
    <w:rsid w:val="00D82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6E2"/>
    <w:rPr>
      <w:sz w:val="20"/>
      <w:szCs w:val="20"/>
    </w:rPr>
  </w:style>
  <w:style w:type="character" w:styleId="FootnoteReference">
    <w:name w:val="footnote reference"/>
    <w:basedOn w:val="DefaultParagraphFont"/>
    <w:uiPriority w:val="99"/>
    <w:semiHidden/>
    <w:unhideWhenUsed/>
    <w:rsid w:val="00D826E2"/>
    <w:rPr>
      <w:vertAlign w:val="superscript"/>
    </w:rPr>
  </w:style>
  <w:style w:type="table" w:styleId="TableGrid">
    <w:name w:val="Table Grid"/>
    <w:basedOn w:val="TableNormal"/>
    <w:uiPriority w:val="39"/>
    <w:rsid w:val="00D82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826E2"/>
  </w:style>
  <w:style w:type="character" w:customStyle="1" w:styleId="Heading2Char">
    <w:name w:val="Heading 2 Char"/>
    <w:basedOn w:val="DefaultParagraphFont"/>
    <w:link w:val="Heading2"/>
    <w:uiPriority w:val="9"/>
    <w:rsid w:val="00D826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66173">
      <w:bodyDiv w:val="1"/>
      <w:marLeft w:val="0"/>
      <w:marRight w:val="0"/>
      <w:marTop w:val="0"/>
      <w:marBottom w:val="0"/>
      <w:divBdr>
        <w:top w:val="none" w:sz="0" w:space="0" w:color="auto"/>
        <w:left w:val="none" w:sz="0" w:space="0" w:color="auto"/>
        <w:bottom w:val="none" w:sz="0" w:space="0" w:color="auto"/>
        <w:right w:val="none" w:sz="0" w:space="0" w:color="auto"/>
      </w:divBdr>
    </w:div>
    <w:div w:id="149715509">
      <w:bodyDiv w:val="1"/>
      <w:marLeft w:val="0"/>
      <w:marRight w:val="0"/>
      <w:marTop w:val="0"/>
      <w:marBottom w:val="0"/>
      <w:divBdr>
        <w:top w:val="none" w:sz="0" w:space="0" w:color="auto"/>
        <w:left w:val="none" w:sz="0" w:space="0" w:color="auto"/>
        <w:bottom w:val="none" w:sz="0" w:space="0" w:color="auto"/>
        <w:right w:val="none" w:sz="0" w:space="0" w:color="auto"/>
      </w:divBdr>
    </w:div>
    <w:div w:id="192304047">
      <w:bodyDiv w:val="1"/>
      <w:marLeft w:val="0"/>
      <w:marRight w:val="0"/>
      <w:marTop w:val="0"/>
      <w:marBottom w:val="0"/>
      <w:divBdr>
        <w:top w:val="none" w:sz="0" w:space="0" w:color="auto"/>
        <w:left w:val="none" w:sz="0" w:space="0" w:color="auto"/>
        <w:bottom w:val="none" w:sz="0" w:space="0" w:color="auto"/>
        <w:right w:val="none" w:sz="0" w:space="0" w:color="auto"/>
      </w:divBdr>
    </w:div>
    <w:div w:id="243926718">
      <w:bodyDiv w:val="1"/>
      <w:marLeft w:val="0"/>
      <w:marRight w:val="0"/>
      <w:marTop w:val="0"/>
      <w:marBottom w:val="0"/>
      <w:divBdr>
        <w:top w:val="none" w:sz="0" w:space="0" w:color="auto"/>
        <w:left w:val="none" w:sz="0" w:space="0" w:color="auto"/>
        <w:bottom w:val="none" w:sz="0" w:space="0" w:color="auto"/>
        <w:right w:val="none" w:sz="0" w:space="0" w:color="auto"/>
      </w:divBdr>
    </w:div>
    <w:div w:id="437530580">
      <w:bodyDiv w:val="1"/>
      <w:marLeft w:val="0"/>
      <w:marRight w:val="0"/>
      <w:marTop w:val="0"/>
      <w:marBottom w:val="0"/>
      <w:divBdr>
        <w:top w:val="none" w:sz="0" w:space="0" w:color="auto"/>
        <w:left w:val="none" w:sz="0" w:space="0" w:color="auto"/>
        <w:bottom w:val="none" w:sz="0" w:space="0" w:color="auto"/>
        <w:right w:val="none" w:sz="0" w:space="0" w:color="auto"/>
      </w:divBdr>
    </w:div>
    <w:div w:id="441076217">
      <w:bodyDiv w:val="1"/>
      <w:marLeft w:val="0"/>
      <w:marRight w:val="0"/>
      <w:marTop w:val="0"/>
      <w:marBottom w:val="0"/>
      <w:divBdr>
        <w:top w:val="none" w:sz="0" w:space="0" w:color="auto"/>
        <w:left w:val="none" w:sz="0" w:space="0" w:color="auto"/>
        <w:bottom w:val="none" w:sz="0" w:space="0" w:color="auto"/>
        <w:right w:val="none" w:sz="0" w:space="0" w:color="auto"/>
      </w:divBdr>
    </w:div>
    <w:div w:id="508255665">
      <w:bodyDiv w:val="1"/>
      <w:marLeft w:val="0"/>
      <w:marRight w:val="0"/>
      <w:marTop w:val="0"/>
      <w:marBottom w:val="0"/>
      <w:divBdr>
        <w:top w:val="none" w:sz="0" w:space="0" w:color="auto"/>
        <w:left w:val="none" w:sz="0" w:space="0" w:color="auto"/>
        <w:bottom w:val="none" w:sz="0" w:space="0" w:color="auto"/>
        <w:right w:val="none" w:sz="0" w:space="0" w:color="auto"/>
      </w:divBdr>
    </w:div>
    <w:div w:id="540048669">
      <w:bodyDiv w:val="1"/>
      <w:marLeft w:val="0"/>
      <w:marRight w:val="0"/>
      <w:marTop w:val="0"/>
      <w:marBottom w:val="0"/>
      <w:divBdr>
        <w:top w:val="none" w:sz="0" w:space="0" w:color="auto"/>
        <w:left w:val="none" w:sz="0" w:space="0" w:color="auto"/>
        <w:bottom w:val="none" w:sz="0" w:space="0" w:color="auto"/>
        <w:right w:val="none" w:sz="0" w:space="0" w:color="auto"/>
      </w:divBdr>
    </w:div>
    <w:div w:id="596132625">
      <w:bodyDiv w:val="1"/>
      <w:marLeft w:val="0"/>
      <w:marRight w:val="0"/>
      <w:marTop w:val="0"/>
      <w:marBottom w:val="0"/>
      <w:divBdr>
        <w:top w:val="none" w:sz="0" w:space="0" w:color="auto"/>
        <w:left w:val="none" w:sz="0" w:space="0" w:color="auto"/>
        <w:bottom w:val="none" w:sz="0" w:space="0" w:color="auto"/>
        <w:right w:val="none" w:sz="0" w:space="0" w:color="auto"/>
      </w:divBdr>
    </w:div>
    <w:div w:id="611129509">
      <w:bodyDiv w:val="1"/>
      <w:marLeft w:val="0"/>
      <w:marRight w:val="0"/>
      <w:marTop w:val="0"/>
      <w:marBottom w:val="0"/>
      <w:divBdr>
        <w:top w:val="none" w:sz="0" w:space="0" w:color="auto"/>
        <w:left w:val="none" w:sz="0" w:space="0" w:color="auto"/>
        <w:bottom w:val="none" w:sz="0" w:space="0" w:color="auto"/>
        <w:right w:val="none" w:sz="0" w:space="0" w:color="auto"/>
      </w:divBdr>
    </w:div>
    <w:div w:id="632563249">
      <w:bodyDiv w:val="1"/>
      <w:marLeft w:val="0"/>
      <w:marRight w:val="0"/>
      <w:marTop w:val="0"/>
      <w:marBottom w:val="0"/>
      <w:divBdr>
        <w:top w:val="none" w:sz="0" w:space="0" w:color="auto"/>
        <w:left w:val="none" w:sz="0" w:space="0" w:color="auto"/>
        <w:bottom w:val="none" w:sz="0" w:space="0" w:color="auto"/>
        <w:right w:val="none" w:sz="0" w:space="0" w:color="auto"/>
      </w:divBdr>
    </w:div>
    <w:div w:id="633951812">
      <w:bodyDiv w:val="1"/>
      <w:marLeft w:val="0"/>
      <w:marRight w:val="0"/>
      <w:marTop w:val="0"/>
      <w:marBottom w:val="0"/>
      <w:divBdr>
        <w:top w:val="none" w:sz="0" w:space="0" w:color="auto"/>
        <w:left w:val="none" w:sz="0" w:space="0" w:color="auto"/>
        <w:bottom w:val="none" w:sz="0" w:space="0" w:color="auto"/>
        <w:right w:val="none" w:sz="0" w:space="0" w:color="auto"/>
      </w:divBdr>
    </w:div>
    <w:div w:id="634793404">
      <w:bodyDiv w:val="1"/>
      <w:marLeft w:val="0"/>
      <w:marRight w:val="0"/>
      <w:marTop w:val="0"/>
      <w:marBottom w:val="0"/>
      <w:divBdr>
        <w:top w:val="none" w:sz="0" w:space="0" w:color="auto"/>
        <w:left w:val="none" w:sz="0" w:space="0" w:color="auto"/>
        <w:bottom w:val="none" w:sz="0" w:space="0" w:color="auto"/>
        <w:right w:val="none" w:sz="0" w:space="0" w:color="auto"/>
      </w:divBdr>
    </w:div>
    <w:div w:id="769473415">
      <w:bodyDiv w:val="1"/>
      <w:marLeft w:val="0"/>
      <w:marRight w:val="0"/>
      <w:marTop w:val="0"/>
      <w:marBottom w:val="0"/>
      <w:divBdr>
        <w:top w:val="none" w:sz="0" w:space="0" w:color="auto"/>
        <w:left w:val="none" w:sz="0" w:space="0" w:color="auto"/>
        <w:bottom w:val="none" w:sz="0" w:space="0" w:color="auto"/>
        <w:right w:val="none" w:sz="0" w:space="0" w:color="auto"/>
      </w:divBdr>
    </w:div>
    <w:div w:id="828448614">
      <w:bodyDiv w:val="1"/>
      <w:marLeft w:val="0"/>
      <w:marRight w:val="0"/>
      <w:marTop w:val="0"/>
      <w:marBottom w:val="0"/>
      <w:divBdr>
        <w:top w:val="none" w:sz="0" w:space="0" w:color="auto"/>
        <w:left w:val="none" w:sz="0" w:space="0" w:color="auto"/>
        <w:bottom w:val="none" w:sz="0" w:space="0" w:color="auto"/>
        <w:right w:val="none" w:sz="0" w:space="0" w:color="auto"/>
      </w:divBdr>
    </w:div>
    <w:div w:id="1286345902">
      <w:bodyDiv w:val="1"/>
      <w:marLeft w:val="0"/>
      <w:marRight w:val="0"/>
      <w:marTop w:val="0"/>
      <w:marBottom w:val="0"/>
      <w:divBdr>
        <w:top w:val="none" w:sz="0" w:space="0" w:color="auto"/>
        <w:left w:val="none" w:sz="0" w:space="0" w:color="auto"/>
        <w:bottom w:val="none" w:sz="0" w:space="0" w:color="auto"/>
        <w:right w:val="none" w:sz="0" w:space="0" w:color="auto"/>
      </w:divBdr>
    </w:div>
    <w:div w:id="1291938419">
      <w:bodyDiv w:val="1"/>
      <w:marLeft w:val="0"/>
      <w:marRight w:val="0"/>
      <w:marTop w:val="0"/>
      <w:marBottom w:val="0"/>
      <w:divBdr>
        <w:top w:val="none" w:sz="0" w:space="0" w:color="auto"/>
        <w:left w:val="none" w:sz="0" w:space="0" w:color="auto"/>
        <w:bottom w:val="none" w:sz="0" w:space="0" w:color="auto"/>
        <w:right w:val="none" w:sz="0" w:space="0" w:color="auto"/>
      </w:divBdr>
    </w:div>
    <w:div w:id="1334379857">
      <w:bodyDiv w:val="1"/>
      <w:marLeft w:val="0"/>
      <w:marRight w:val="0"/>
      <w:marTop w:val="0"/>
      <w:marBottom w:val="0"/>
      <w:divBdr>
        <w:top w:val="none" w:sz="0" w:space="0" w:color="auto"/>
        <w:left w:val="none" w:sz="0" w:space="0" w:color="auto"/>
        <w:bottom w:val="none" w:sz="0" w:space="0" w:color="auto"/>
        <w:right w:val="none" w:sz="0" w:space="0" w:color="auto"/>
      </w:divBdr>
    </w:div>
    <w:div w:id="1340350521">
      <w:bodyDiv w:val="1"/>
      <w:marLeft w:val="0"/>
      <w:marRight w:val="0"/>
      <w:marTop w:val="0"/>
      <w:marBottom w:val="0"/>
      <w:divBdr>
        <w:top w:val="none" w:sz="0" w:space="0" w:color="auto"/>
        <w:left w:val="none" w:sz="0" w:space="0" w:color="auto"/>
        <w:bottom w:val="none" w:sz="0" w:space="0" w:color="auto"/>
        <w:right w:val="none" w:sz="0" w:space="0" w:color="auto"/>
      </w:divBdr>
    </w:div>
    <w:div w:id="1342128231">
      <w:bodyDiv w:val="1"/>
      <w:marLeft w:val="0"/>
      <w:marRight w:val="0"/>
      <w:marTop w:val="0"/>
      <w:marBottom w:val="0"/>
      <w:divBdr>
        <w:top w:val="none" w:sz="0" w:space="0" w:color="auto"/>
        <w:left w:val="none" w:sz="0" w:space="0" w:color="auto"/>
        <w:bottom w:val="none" w:sz="0" w:space="0" w:color="auto"/>
        <w:right w:val="none" w:sz="0" w:space="0" w:color="auto"/>
      </w:divBdr>
    </w:div>
    <w:div w:id="1434671042">
      <w:bodyDiv w:val="1"/>
      <w:marLeft w:val="0"/>
      <w:marRight w:val="0"/>
      <w:marTop w:val="0"/>
      <w:marBottom w:val="0"/>
      <w:divBdr>
        <w:top w:val="none" w:sz="0" w:space="0" w:color="auto"/>
        <w:left w:val="none" w:sz="0" w:space="0" w:color="auto"/>
        <w:bottom w:val="none" w:sz="0" w:space="0" w:color="auto"/>
        <w:right w:val="none" w:sz="0" w:space="0" w:color="auto"/>
      </w:divBdr>
    </w:div>
    <w:div w:id="1441030589">
      <w:bodyDiv w:val="1"/>
      <w:marLeft w:val="0"/>
      <w:marRight w:val="0"/>
      <w:marTop w:val="0"/>
      <w:marBottom w:val="0"/>
      <w:divBdr>
        <w:top w:val="none" w:sz="0" w:space="0" w:color="auto"/>
        <w:left w:val="none" w:sz="0" w:space="0" w:color="auto"/>
        <w:bottom w:val="none" w:sz="0" w:space="0" w:color="auto"/>
        <w:right w:val="none" w:sz="0" w:space="0" w:color="auto"/>
      </w:divBdr>
    </w:div>
    <w:div w:id="1563100056">
      <w:bodyDiv w:val="1"/>
      <w:marLeft w:val="0"/>
      <w:marRight w:val="0"/>
      <w:marTop w:val="0"/>
      <w:marBottom w:val="0"/>
      <w:divBdr>
        <w:top w:val="none" w:sz="0" w:space="0" w:color="auto"/>
        <w:left w:val="none" w:sz="0" w:space="0" w:color="auto"/>
        <w:bottom w:val="none" w:sz="0" w:space="0" w:color="auto"/>
        <w:right w:val="none" w:sz="0" w:space="0" w:color="auto"/>
      </w:divBdr>
    </w:div>
    <w:div w:id="1592737275">
      <w:bodyDiv w:val="1"/>
      <w:marLeft w:val="0"/>
      <w:marRight w:val="0"/>
      <w:marTop w:val="0"/>
      <w:marBottom w:val="0"/>
      <w:divBdr>
        <w:top w:val="none" w:sz="0" w:space="0" w:color="auto"/>
        <w:left w:val="none" w:sz="0" w:space="0" w:color="auto"/>
        <w:bottom w:val="none" w:sz="0" w:space="0" w:color="auto"/>
        <w:right w:val="none" w:sz="0" w:space="0" w:color="auto"/>
      </w:divBdr>
    </w:div>
    <w:div w:id="1697535268">
      <w:bodyDiv w:val="1"/>
      <w:marLeft w:val="0"/>
      <w:marRight w:val="0"/>
      <w:marTop w:val="0"/>
      <w:marBottom w:val="0"/>
      <w:divBdr>
        <w:top w:val="none" w:sz="0" w:space="0" w:color="auto"/>
        <w:left w:val="none" w:sz="0" w:space="0" w:color="auto"/>
        <w:bottom w:val="none" w:sz="0" w:space="0" w:color="auto"/>
        <w:right w:val="none" w:sz="0" w:space="0" w:color="auto"/>
      </w:divBdr>
    </w:div>
    <w:div w:id="1780366514">
      <w:bodyDiv w:val="1"/>
      <w:marLeft w:val="0"/>
      <w:marRight w:val="0"/>
      <w:marTop w:val="0"/>
      <w:marBottom w:val="0"/>
      <w:divBdr>
        <w:top w:val="none" w:sz="0" w:space="0" w:color="auto"/>
        <w:left w:val="none" w:sz="0" w:space="0" w:color="auto"/>
        <w:bottom w:val="none" w:sz="0" w:space="0" w:color="auto"/>
        <w:right w:val="none" w:sz="0" w:space="0" w:color="auto"/>
      </w:divBdr>
    </w:div>
    <w:div w:id="1784614594">
      <w:bodyDiv w:val="1"/>
      <w:marLeft w:val="0"/>
      <w:marRight w:val="0"/>
      <w:marTop w:val="0"/>
      <w:marBottom w:val="0"/>
      <w:divBdr>
        <w:top w:val="none" w:sz="0" w:space="0" w:color="auto"/>
        <w:left w:val="none" w:sz="0" w:space="0" w:color="auto"/>
        <w:bottom w:val="none" w:sz="0" w:space="0" w:color="auto"/>
        <w:right w:val="none" w:sz="0" w:space="0" w:color="auto"/>
      </w:divBdr>
    </w:div>
    <w:div w:id="1816028311">
      <w:bodyDiv w:val="1"/>
      <w:marLeft w:val="0"/>
      <w:marRight w:val="0"/>
      <w:marTop w:val="0"/>
      <w:marBottom w:val="0"/>
      <w:divBdr>
        <w:top w:val="none" w:sz="0" w:space="0" w:color="auto"/>
        <w:left w:val="none" w:sz="0" w:space="0" w:color="auto"/>
        <w:bottom w:val="none" w:sz="0" w:space="0" w:color="auto"/>
        <w:right w:val="none" w:sz="0" w:space="0" w:color="auto"/>
      </w:divBdr>
    </w:div>
    <w:div w:id="1827891438">
      <w:bodyDiv w:val="1"/>
      <w:marLeft w:val="0"/>
      <w:marRight w:val="0"/>
      <w:marTop w:val="0"/>
      <w:marBottom w:val="0"/>
      <w:divBdr>
        <w:top w:val="none" w:sz="0" w:space="0" w:color="auto"/>
        <w:left w:val="none" w:sz="0" w:space="0" w:color="auto"/>
        <w:bottom w:val="none" w:sz="0" w:space="0" w:color="auto"/>
        <w:right w:val="none" w:sz="0" w:space="0" w:color="auto"/>
      </w:divBdr>
    </w:div>
    <w:div w:id="1864048642">
      <w:bodyDiv w:val="1"/>
      <w:marLeft w:val="0"/>
      <w:marRight w:val="0"/>
      <w:marTop w:val="0"/>
      <w:marBottom w:val="0"/>
      <w:divBdr>
        <w:top w:val="none" w:sz="0" w:space="0" w:color="auto"/>
        <w:left w:val="none" w:sz="0" w:space="0" w:color="auto"/>
        <w:bottom w:val="none" w:sz="0" w:space="0" w:color="auto"/>
        <w:right w:val="none" w:sz="0" w:space="0" w:color="auto"/>
      </w:divBdr>
    </w:div>
    <w:div w:id="2008089938">
      <w:bodyDiv w:val="1"/>
      <w:marLeft w:val="0"/>
      <w:marRight w:val="0"/>
      <w:marTop w:val="0"/>
      <w:marBottom w:val="0"/>
      <w:divBdr>
        <w:top w:val="none" w:sz="0" w:space="0" w:color="auto"/>
        <w:left w:val="none" w:sz="0" w:space="0" w:color="auto"/>
        <w:bottom w:val="none" w:sz="0" w:space="0" w:color="auto"/>
        <w:right w:val="none" w:sz="0" w:space="0" w:color="auto"/>
      </w:divBdr>
    </w:div>
    <w:div w:id="212025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Kor</b:Tag>
    <b:SourceType>JournalArticle</b:SourceType>
    <b:Guid>{089E0984-C5B7-4BF6-81CF-BBF3EF10FC55}</b:Guid>
    <b:Title>Determination of information flow direction among brain structures</b:Title>
    <b:Pages>125, 195–207</b:Pages>
    <b:Author>
      <b:Author>
        <b:NameList>
          <b:Person>
            <b:Last>Korzeniewska</b:Last>
            <b:First>A.,</b:First>
            <b:Middle>Manczak, M., Kami ´ nski, M., Blinowska, K. J., and Kasicki, S.</b:Middle>
          </b:Person>
        </b:NameList>
      </b:Author>
    </b:Author>
    <b:JournalName>J. Neurosci. Methods</b:JournalName>
    <b:RefOrder>5</b:RefOrder>
  </b:Source>
  <b:Source>
    <b:Tag>CWJ69</b:Tag>
    <b:SourceType>JournalArticle</b:SourceType>
    <b:Guid>{945CE83D-CCF6-42AF-803B-59ABABC0B08E}</b:Guid>
    <b:Author>
      <b:Author>
        <b:NameList>
          <b:Person>
            <b:Last>Granger</b:Last>
            <b:First>C.</b:First>
            <b:Middle>W. J.</b:Middle>
          </b:Person>
        </b:NameList>
      </b:Author>
    </b:Author>
    <b:Title>Investigating Causal Relations by Econometric Models and Cross-spectral Methods</b:Title>
    <b:JournalName>Econometrica</b:JournalName>
    <b:Year>Aug., 1969</b:Year>
    <b:Pages>424-438</b:Pages>
    <b:RefOrder>6</b:RefOrder>
  </b:Source>
  <b:Source>
    <b:Tag>Nal07</b:Tag>
    <b:SourceType>JournalArticle</b:SourceType>
    <b:Guid>{0F46E60D-1019-4FE7-826F-998845234B94}</b:Guid>
    <b:Author>
      <b:Author>
        <b:NameList>
          <b:Person>
            <b:Last>Nalatore H</b:Last>
            <b:First>Ding</b:First>
            <b:Middle>M, Rangarajan G.</b:Middle>
          </b:Person>
        </b:NameList>
      </b:Author>
    </b:Author>
    <b:Title> Mitigating the effects of measurement noise on Granger causality.</b:Title>
    <b:JournalName>Phys Rev E Stat Nonlin Soft Matter Phys</b:JournalName>
    <b:Year>2007</b:Year>
    <b:RefOrder>7</b:RefOrder>
  </b:Source>
  <b:Source>
    <b:Tag>Gou07</b:Tag>
    <b:SourceType>JournalArticle</b:SourceType>
    <b:Guid>{AA56BA9F-71C6-42F3-9DEB-D6C7DB19F1AD}</b:Guid>
    <b:Author>
      <b:Author>
        <b:NameList>
          <b:Person>
            <b:Last>Gourévitch</b:Last>
            <b:First>B.,</b:First>
            <b:Middle>and Eggermont, J. J</b:Middle>
          </b:Person>
        </b:NameList>
      </b:Author>
    </b:Author>
    <b:Title>Evaluating information transfer</b:Title>
    <b:JournalName>Neurophysiol</b:JournalName>
    <b:Year>2007</b:Year>
    <b:Pages>97, 2533–2543</b:Pages>
    <b:RefOrder>8</b:RefOrder>
  </b:Source>
  <b:Source>
    <b:Tag>SSa09</b:Tag>
    <b:SourceType>JournalArticle</b:SourceType>
    <b:Guid>{5F161D05-85BC-4A56-8C26-4AF5A0D71F82}</b:Guid>
    <b:Title>Information Flow and Application to Epileptogenic Focus Localization From Intracranial EEG</b:Title>
    <b:Year>2009</b:Year>
    <b:Author>
      <b:Author>
        <b:NameList>
          <b:Person>
            <b:Last>S. Sabesan</b:Last>
            <b:First>L.</b:First>
            <b:Middle>B. Good, K. S. Tsakalis, A. Spanias, D. M. Treiman and L. D. Iasemidis</b:Middle>
          </b:Person>
        </b:NameList>
      </b:Author>
    </b:Author>
    <b:JournalName>IEEE Transactions on Neural Systems and Rehabilitation Engineering</b:JournalName>
    <b:Pages>244-253</b:Pages>
    <b:Volume>17</b:Volume>
    <b:Issue>3</b:Issue>
    <b:RefOrder>9</b:RefOrder>
  </b:Source>
  <b:Source>
    <b:Tag>Sch00</b:Tag>
    <b:SourceType>JournalArticle</b:SourceType>
    <b:Guid>{679DB993-39C9-4D1D-A26A-0E591A6FCA30}</b:Guid>
    <b:Title>Measuring information transfer</b:Title>
    <b:Year>2000</b:Year>
    <b:Author>
      <b:Author>
        <b:NameList>
          <b:Person>
            <b:Last>Schreiber</b:Last>
            <b:First>T</b:First>
          </b:Person>
        </b:NameList>
      </b:Author>
    </b:Author>
    <b:JournalName>Physical Review Letters</b:JournalName>
    <b:Pages>461–464</b:Pages>
    <b:RefOrder>10</b:RefOrder>
  </b:Source>
  <b:Source>
    <b:Tag>PWo18</b:Tag>
    <b:SourceType>JournalArticle</b:SourceType>
    <b:Guid>{D1AB8F48-68FA-406E-9CF2-48DE28183893}</b:Guid>
    <b:Title>IDTxl: The Information Dynamics Toolkit xl: a Python package for the efficient analysis of multivariate information dynamics in networks.</b:Title>
    <b:Year>2018</b:Year>
    <b:Author>
      <b:Author>
        <b:NameList>
          <b:Person>
            <b:Last>P. Wollstadt</b:Last>
            <b:First>J.</b:First>
            <b:Middle>T. Lizier, R. Vicente, C. Finn, M. Martinez-Zarzuela, P. Mediano, L. Novelli, M. Wibral</b:Middle>
          </b:Person>
        </b:NameList>
      </b:Author>
    </b:Author>
    <b:JournalName> Journal of Open Source Software</b:JournalName>
    <b:Pages>1081</b:Pages>
    <b:Volume>4(34)</b:Volume>
    <b:RefOrder>11</b:RefOrder>
  </b:Source>
  <b:Source>
    <b:Tag>Set15</b:Tag>
    <b:SourceType>JournalArticle</b:SourceType>
    <b:Guid>{0A9B4452-1AD9-468E-9ED4-97AE3FEB6D68}</b:Guid>
    <b:Author>
      <b:Author>
        <b:NameList>
          <b:Person>
            <b:Last>Seth AK</b:Last>
            <b:First>Barrett</b:First>
            <b:Middle>AB, Barnett L.</b:Middle>
          </b:Person>
        </b:NameList>
      </b:Author>
    </b:Author>
    <b:Title> Granger causality analysis in neuroscience and neuroimaging</b:Title>
    <b:JournalName>J Neurosci</b:JournalName>
    <b:Year>2015</b:Year>
    <b:Pages>3293‐3297</b:Pages>
    <b:Volume>35(8)</b:Volume>
    <b:RefOrder>4</b:RefOrder>
  </b:Source>
  <b:Source>
    <b:Tag>Bar14</b:Tag>
    <b:SourceType>JournalArticle</b:SourceType>
    <b:Guid>{75BC0C2D-DCC9-4600-A6E5-CEEE41E3962B}</b:Guid>
    <b:Author>
      <b:Author>
        <b:NameList>
          <b:Person>
            <b:Last>Barnett L</b:Last>
            <b:First>Seth</b:First>
            <b:Middle>AK.</b:Middle>
          </b:Person>
        </b:NameList>
      </b:Author>
    </b:Author>
    <b:Title>The MVGC multivariate Granger causality toolbox: a new approach to Granger-causal inference</b:Title>
    <b:JournalName>J Neurosci Methods</b:JournalName>
    <b:Year>2014</b:Year>
    <b:Pages>50‐68</b:Pages>
    <b:Issue>10.1016/j.jneumeth.2013.10.018</b:Issue>
    <b:RefOrder>12</b:RefOrder>
  </b:Source>
  <b:Source>
    <b:Tag>Vic11</b:Tag>
    <b:SourceType>JournalArticle</b:SourceType>
    <b:Guid>{653B0B6F-7BAD-437F-A16A-E07FF540672F}</b:Guid>
    <b:Author>
      <b:Author>
        <b:NameList>
          <b:Person>
            <b:Last>Vicente R</b:Last>
            <b:First>Wibral</b:First>
            <b:Middle>M, Lindner M, Pipa G.</b:Middle>
          </b:Person>
        </b:NameList>
      </b:Author>
    </b:Author>
    <b:Title>Transfer entropy--a model-free measure of effective connectivity for the neurosciences.</b:Title>
    <b:JournalName>J Comput Neurosci. </b:JournalName>
    <b:Year>2011</b:Year>
    <b:Pages>30(1):45‐67.</b:Pages>
    <b:RefOrder>3</b:RefOrder>
  </b:Source>
  <b:Source>
    <b:Tag>CBr</b:Tag>
    <b:SourceType>DocumentFromInternetSite</b:SourceType>
    <b:Guid>{6594F600-7F6E-4BF2-AB16-D689F63A739A}</b:Guid>
    <b:Title>Bnci-horizon-2020</b:Title>
    <b:Author>
      <b:Author>
        <b:NameList>
          <b:Person>
            <b:Last>C. Brunner</b:Last>
            <b:First>R.</b:First>
            <b:Middle>Leeb, G. R. Muller-Putz, A. Schl ¨ ogl, and G. Pfurtscheller</b:Middle>
          </b:Person>
        </b:NameList>
      </b:Author>
    </b:Author>
    <b:InternetSiteTitle>BCI competition 2008 - graz data set a.</b:InternetSiteTitle>
    <b:URL>http://bnci-horizon-2020.eu/database/data-sets</b:URL>
    <b:RefOrder>1</b:RefOrder>
  </b:Source>
  <b:Source>
    <b:Tag>Lia16</b:Tag>
    <b:SourceType>JournalArticle</b:SourceType>
    <b:Guid>{86241135-D412-4691-A65B-4F9C5B990D65}</b:Guid>
    <b:Title>Discrimination of motor imagery tasks via information flow pattern of brain connectivity.</b:Title>
    <b:Year>2016</b:Year>
    <b:Author>
      <b:Author>
        <b:NameList>
          <b:Person>
            <b:Last>Liang</b:Last>
            <b:First>Shuang</b:First>
            <b:Middle>&amp; Choi, Kup-Sze &amp; Qin, Jing &amp; Wang, Qiong &amp; Pang, Wai-Man &amp; Heng, Pheng-Ann</b:Middle>
          </b:Person>
        </b:NameList>
      </b:Author>
    </b:Author>
    <b:JournalName>Technology and health care : official journal of the European Society for Engineering and Medicine</b:JournalName>
    <b:Pages>24</b:Pages>
    <b:RefOrder>2</b:RefOrder>
  </b:Source>
  <b:Source>
    <b:Tag>Sho14</b:Tag>
    <b:SourceType>ConferenceProceedings</b:SourceType>
    <b:Guid>{F6C004B3-F87A-4628-96D3-6BFAB5D1F044}</b:Guid>
    <b:Title>Towards a Cognitive Metric using Normalized Transfer Entropy</b:Title>
    <b:Year>2014</b:Year>
    <b:Author>
      <b:Author>
        <b:NameList>
          <b:Person>
            <b:Last>Shovon</b:Last>
            <b:First>Md</b:First>
            <b:Middle>Hedayetul Islam &amp; Nandagopal, Nanda &amp; Ramasamy, Vijayalakshmi &amp; Du, Jia &amp; Cocks, Bernadine.</b:Middle>
          </b:Person>
        </b:NameList>
      </b:Author>
    </b:Author>
    <b:ConferenceName>ASE BigData/SocialInformatics/PASSAT/BioMedCom 2014 Conference, Harvard University</b:ConferenceName>
    <b:RefOrder>13</b:RefOrder>
  </b:Source>
  <b:Source>
    <b:Tag>Ney11</b:Tag>
    <b:SourceType>JournalArticle</b:SourceType>
    <b:Guid>{EC271661-6628-4193-BFEA-562C3F163871}</b:Guid>
    <b:Title>Synaptic information transfer in computer models of neocortical columns</b:Title>
    <b:Pages> 69-84</b:Pages>
    <b:Year>2011</b:Year>
    <b:Author>
      <b:Author>
        <b:NameList>
          <b:Person>
            <b:Last>Neymotin</b:Last>
            <b:First>Sam</b:First>
            <b:Middle>&amp; Jacobs, Kimberle &amp; Fenton, André &amp; Lytton, William.</b:Middle>
          </b:Person>
        </b:NameList>
      </b:Author>
    </b:Author>
    <b:JournalName>Journal of computational neuroscience</b:JournalName>
    <b:RefOrder>14</b:RefOrder>
  </b:Source>
</b:Sources>
</file>

<file path=customXml/itemProps1.xml><?xml version="1.0" encoding="utf-8"?>
<ds:datastoreItem xmlns:ds="http://schemas.openxmlformats.org/officeDocument/2006/customXml" ds:itemID="{AF886F2D-E1CA-432D-BAF6-D8450034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2019</Words>
  <Characters>11511</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 gambhira</dc:creator>
  <cp:keywords/>
  <dc:description/>
  <cp:lastModifiedBy>Sirish gambhira</cp:lastModifiedBy>
  <cp:revision>2</cp:revision>
  <dcterms:created xsi:type="dcterms:W3CDTF">2020-07-18T11:04:00Z</dcterms:created>
  <dcterms:modified xsi:type="dcterms:W3CDTF">2020-07-18T11:04:00Z</dcterms:modified>
</cp:coreProperties>
</file>