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emo-rtf-excel-bible-verse-exporter"/>
    <w:p>
      <w:pPr>
        <w:pStyle w:val="Heading1"/>
      </w:pPr>
      <w:r>
        <w:t xml:space="preserve">Memo: RTF → Excel Bible Verse Exporter</w:t>
      </w:r>
    </w:p>
    <w:bookmarkStart w:id="20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Convert a batch of RTF Bible book files into Excel workbooks where each row is a verse: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Column A:</w:t>
      </w:r>
      <w:r>
        <w:t xml:space="preserve"> </w:t>
      </w:r>
      <w:r>
        <w:t xml:space="preserve">Full book name + reference (e.g.,</w:t>
      </w:r>
      <w:r>
        <w:t xml:space="preserve"> </w:t>
      </w:r>
      <w:r>
        <w:rPr>
          <w:rStyle w:val="VerbatimChar"/>
        </w:rPr>
        <w:t xml:space="preserve">Ruth 1:1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Column B:</w:t>
      </w:r>
      <w:r>
        <w:t xml:space="preserve"> </w:t>
      </w:r>
      <w:r>
        <w:t xml:space="preserve">Verse text</w:t>
      </w:r>
      <w:r>
        <w:t xml:space="preserve"> </w:t>
      </w:r>
      <w:r>
        <w:rPr>
          <w:bCs/>
          <w:b/>
        </w:rPr>
        <w:t xml:space="preserve">verbatim</w:t>
      </w:r>
      <w:r>
        <w:t xml:space="preserve"> </w:t>
      </w:r>
      <w:r>
        <w:t xml:space="preserve">(as printed in the RTF), with the verse number removed from the text body.</w:t>
      </w:r>
    </w:p>
    <w:bookmarkEnd w:id="20"/>
    <w:bookmarkStart w:id="21" w:name="inputs"/>
    <w:p>
      <w:pPr>
        <w:pStyle w:val="Heading2"/>
      </w:pPr>
      <w:r>
        <w:t xml:space="preserve">Inputs</w:t>
      </w:r>
    </w:p>
    <w:p>
      <w:pPr>
        <w:numPr>
          <w:ilvl w:val="0"/>
          <w:numId w:val="1001"/>
        </w:numPr>
        <w:pStyle w:val="Compact"/>
      </w:pPr>
      <w:r>
        <w:t xml:space="preserve">One RTF per Bible book, e.g.,</w:t>
      </w:r>
      <w:r>
        <w:t xml:space="preserve"> </w:t>
      </w:r>
      <w:r>
        <w:rPr>
          <w:rStyle w:val="VerbatimChar"/>
        </w:rPr>
        <w:t xml:space="preserve">08.Ruth.rtf</w:t>
      </w:r>
      <w:r>
        <w:t xml:space="preserve">,</w:t>
      </w:r>
      <w:r>
        <w:t xml:space="preserve"> </w:t>
      </w:r>
      <w:r>
        <w:rPr>
          <w:rStyle w:val="VerbatimChar"/>
        </w:rPr>
        <w:t xml:space="preserve">14.2 Chronicles.rtf</w:t>
      </w:r>
      <w:r>
        <w:t xml:space="preserve">. The filename contains the full book name we should use in the reference.</w:t>
      </w:r>
    </w:p>
    <w:p>
      <w:pPr>
        <w:numPr>
          <w:ilvl w:val="0"/>
          <w:numId w:val="1001"/>
        </w:numPr>
        <w:pStyle w:val="Compact"/>
      </w:pPr>
      <w:r>
        <w:t xml:space="preserve">Within each RTF: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Chapter numbers</w:t>
      </w:r>
      <w:r>
        <w:t xml:space="preserve"> </w:t>
      </w:r>
      <w:r>
        <w:t xml:space="preserve">are the large inline numerals that start a chapter.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Verse numbers</w:t>
      </w:r>
      <w:r>
        <w:t xml:space="preserve"> </w:t>
      </w:r>
      <w:r>
        <w:t xml:space="preserve">are consistently formatted as</w:t>
      </w:r>
      <w:r>
        <w:t xml:space="preserve"> </w:t>
      </w:r>
      <w:r>
        <w:rPr>
          <w:bCs/>
          <w:b/>
        </w:rPr>
        <w:t xml:space="preserve">superscript</w:t>
      </w:r>
      <w:r>
        <w:t xml:space="preserve"> </w:t>
      </w:r>
      <w:r>
        <w:t xml:space="preserve">numerals.</w:t>
      </w:r>
    </w:p>
    <w:p>
      <w:pPr>
        <w:numPr>
          <w:ilvl w:val="1"/>
          <w:numId w:val="1002"/>
        </w:numPr>
        <w:pStyle w:val="Compact"/>
      </w:pPr>
      <w:r>
        <w:t xml:space="preserve">All chapter and verse numerals share consistent styling</w:t>
      </w:r>
      <w:r>
        <w:t xml:space="preserve"> </w:t>
      </w:r>
      <w:r>
        <w:rPr>
          <w:bCs/>
          <w:b/>
        </w:rPr>
        <w:t xml:space="preserve">within a batch</w:t>
      </w:r>
      <w:r>
        <w:t xml:space="preserve">, but</w:t>
      </w:r>
      <w:r>
        <w:t xml:space="preserve"> </w:t>
      </w:r>
      <w:r>
        <w:rPr>
          <w:bCs/>
          <w:b/>
        </w:rPr>
        <w:t xml:space="preserve">may change</w:t>
      </w:r>
      <w:r>
        <w:t xml:space="preserve"> </w:t>
      </w:r>
      <w:r>
        <w:t xml:space="preserve">(font name / size) in future batches.</w:t>
      </w:r>
    </w:p>
    <w:bookmarkEnd w:id="21"/>
    <w:bookmarkStart w:id="22" w:name="output"/>
    <w:p>
      <w:pPr>
        <w:pStyle w:val="Heading2"/>
      </w:pPr>
      <w:r>
        <w:t xml:space="preserve">Output</w:t>
      </w:r>
    </w:p>
    <w:p>
      <w:pPr>
        <w:numPr>
          <w:ilvl w:val="0"/>
          <w:numId w:val="1003"/>
        </w:numPr>
        <w:pStyle w:val="Compact"/>
      </w:pPr>
      <w:r>
        <w:t xml:space="preserve">One Excel file per input RTF (or one combined workbook, configurable), with:</w:t>
      </w:r>
    </w:p>
    <w:p>
      <w:pPr>
        <w:numPr>
          <w:ilvl w:val="1"/>
          <w:numId w:val="1004"/>
        </w:numPr>
        <w:pStyle w:val="Compact"/>
      </w:pPr>
      <w:r>
        <w:t xml:space="preserve">A header row:</w:t>
      </w:r>
      <w:r>
        <w:t xml:space="preserve"> </w:t>
      </w:r>
      <w:r>
        <w:rPr>
          <w:rStyle w:val="VerbatimChar"/>
        </w:rPr>
        <w:t xml:space="preserve">Reference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(configurable).</w:t>
      </w:r>
    </w:p>
    <w:p>
      <w:pPr>
        <w:numPr>
          <w:ilvl w:val="1"/>
          <w:numId w:val="1004"/>
        </w:numPr>
        <w:pStyle w:val="Compact"/>
      </w:pPr>
      <w:r>
        <w:t xml:space="preserve">One row per verse in canonical order.</w:t>
      </w:r>
    </w:p>
    <w:bookmarkEnd w:id="22"/>
    <w:bookmarkStart w:id="23" w:name="parsing-rules-critical"/>
    <w:p>
      <w:pPr>
        <w:pStyle w:val="Heading2"/>
      </w:pPr>
      <w:r>
        <w:t xml:space="preserve">Parsing Rules (critical)</w:t>
      </w:r>
    </w:p>
    <w:p>
      <w:pPr>
        <w:numPr>
          <w:ilvl w:val="0"/>
          <w:numId w:val="1005"/>
        </w:numPr>
        <w:pStyle w:val="Compact"/>
      </w:pPr>
      <w:r>
        <w:t xml:space="preserve">Treat any</w:t>
      </w:r>
      <w:r>
        <w:t xml:space="preserve"> </w:t>
      </w:r>
      <w:r>
        <w:rPr>
          <w:bCs/>
          <w:b/>
        </w:rPr>
        <w:t xml:space="preserve">superscript run of digits</w:t>
      </w:r>
      <w:r>
        <w:t xml:space="preserve"> </w:t>
      </w:r>
      <w:r>
        <w:t xml:space="preserve">as a</w:t>
      </w:r>
      <w:r>
        <w:t xml:space="preserve"> </w:t>
      </w:r>
      <w:r>
        <w:rPr>
          <w:bCs/>
          <w:b/>
        </w:rPr>
        <w:t xml:space="preserve">verse number start</w:t>
      </w:r>
      <w:r>
        <w:t xml:space="preserve"> </w:t>
      </w:r>
      <w:r>
        <w:t xml:space="preserve">(</w:t>
      </w:r>
      <w:r>
        <w:rPr>
          <w:rStyle w:val="VerbatimChar"/>
        </w:rPr>
        <w:t xml:space="preserve">v</w:t>
      </w:r>
      <w:r>
        <w:t xml:space="preserve">). When you encounter a superscript digits token, finish the previous verse (if any), then start collecting text for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Treat a</w:t>
      </w:r>
      <w:r>
        <w:t xml:space="preserve"> </w:t>
      </w:r>
      <w:r>
        <w:rPr>
          <w:bCs/>
          <w:b/>
        </w:rPr>
        <w:t xml:space="preserve">non-superscript run of digits</w:t>
      </w:r>
      <w:r>
        <w:t xml:space="preserve"> </w:t>
      </w:r>
      <w:r>
        <w:t xml:space="preserve">that matches the</w:t>
      </w:r>
      <w:r>
        <w:t xml:space="preserve"> </w:t>
      </w:r>
      <w:r>
        <w:rPr>
          <w:bCs/>
          <w:b/>
        </w:rPr>
        <w:t xml:space="preserve">chapter font spec</w:t>
      </w:r>
      <w:r>
        <w:t xml:space="preserve"> </w:t>
      </w:r>
      <w:r>
        <w:t xml:space="preserve">(see Config) and appears at a chapter boundary as a</w:t>
      </w:r>
      <w:r>
        <w:t xml:space="preserve"> </w:t>
      </w:r>
      <w:r>
        <w:rPr>
          <w:bCs/>
          <w:b/>
        </w:rPr>
        <w:t xml:space="preserve">chapter number</w:t>
      </w:r>
      <w:r>
        <w:t xml:space="preserve"> </w:t>
      </w:r>
      <w:r>
        <w:t xml:space="preserve">(</w:t>
      </w:r>
      <w:r>
        <w:rPr>
          <w:rStyle w:val="VerbatimChar"/>
        </w:rPr>
        <w:t xml:space="preserve">c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Verse text should be the characters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its superscript number until the next superscript number or end of chapter/file.</w:t>
      </w:r>
    </w:p>
    <w:p>
      <w:pPr>
        <w:numPr>
          <w:ilvl w:val="0"/>
          <w:numId w:val="1005"/>
        </w:numPr>
        <w:pStyle w:val="Compact"/>
      </w:pPr>
      <w:r>
        <w:t xml:space="preserve">Preserve punctuation, casing, small caps, and special characters as emitted by the RTF to Unicode.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normalize quotes or whitespace except to collapse hard RTF control boundaries.</w:t>
      </w:r>
    </w:p>
    <w:p>
      <w:pPr>
        <w:numPr>
          <w:ilvl w:val="0"/>
          <w:numId w:val="1005"/>
        </w:numPr>
        <w:pStyle w:val="Compact"/>
      </w:pPr>
      <w:r>
        <w:t xml:space="preserve">Verse numbers should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appear in the exported text column.</w:t>
      </w:r>
    </w:p>
    <w:bookmarkEnd w:id="23"/>
    <w:bookmarkStart w:id="24" w:name="configurability-future-proofing"/>
    <w:p>
      <w:pPr>
        <w:pStyle w:val="Heading2"/>
      </w:pPr>
      <w:r>
        <w:t xml:space="preserve">Configurability (future-proofing)</w:t>
      </w:r>
    </w:p>
    <w:p>
      <w:pPr>
        <w:pStyle w:val="FirstParagraph"/>
      </w:pPr>
      <w:r>
        <w:t xml:space="preserve">At the top of the script, expose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block to adapt to future file batches: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CHAPTER_FONT_NAME</w:t>
      </w:r>
      <w:r>
        <w:t xml:space="preserve"> </w:t>
      </w:r>
      <w:r>
        <w:t xml:space="preserve">(optional; leave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to ignore).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CHAPTER_MIN_FS_HALFPOINTS</w:t>
      </w:r>
      <w:r>
        <w:t xml:space="preserve"> </w:t>
      </w:r>
      <w:r>
        <w:t xml:space="preserve">(RTF</w:t>
      </w:r>
      <w:r>
        <w:t xml:space="preserve"> </w:t>
      </w:r>
      <w:r>
        <w:rPr>
          <w:rStyle w:val="VerbatimChar"/>
        </w:rPr>
        <w:t xml:space="preserve">\fsN</w:t>
      </w:r>
      <w:r>
        <w:t xml:space="preserve"> </w:t>
      </w:r>
      <w:r>
        <w:t xml:space="preserve">uses</w:t>
      </w:r>
      <w:r>
        <w:t xml:space="preserve"> </w:t>
      </w:r>
      <w:r>
        <w:rPr>
          <w:bCs/>
          <w:b/>
        </w:rPr>
        <w:t xml:space="preserve">half-points</w:t>
      </w:r>
      <w:r>
        <w:t xml:space="preserve">; e.g., 48 = 24pt).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VERSE_IS_SUPERSCRIPT</w:t>
      </w:r>
      <w:r>
        <w:t xml:space="preserve"> </w:t>
      </w:r>
      <w:r>
        <w:t xml:space="preserve">(bool; typically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VERSE_FONT_NAME</w:t>
      </w:r>
      <w:r>
        <w:t xml:space="preserve"> </w:t>
      </w:r>
      <w:r>
        <w:t xml:space="preserve">(optional; leave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to ignore).</w:t>
      </w:r>
      <w:r>
        <w:t xml:space="preserve"> </w:t>
      </w:r>
      <w:r>
        <w:t xml:space="preserve">- Filename → book-name extraction pattern.</w:t>
      </w:r>
      <w:r>
        <w:t xml:space="preserve"> </w:t>
      </w:r>
      <w:r>
        <w:t xml:space="preserve">- Per-book output mode (one workbook per book vs. one combined file).</w:t>
      </w:r>
    </w:p>
    <w:p>
      <w:pPr>
        <w:pStyle w:val="BodyText"/>
      </w:pPr>
      <w:r>
        <w:t xml:space="preserve">If the next batch changes fonts/sizes, we edit values in this config—no code changes.</w:t>
      </w:r>
    </w:p>
    <w:bookmarkEnd w:id="24"/>
    <w:bookmarkStart w:id="25" w:name="edge-cases-notes"/>
    <w:p>
      <w:pPr>
        <w:pStyle w:val="Heading2"/>
      </w:pPr>
      <w:r>
        <w:t xml:space="preserve">Edge Cases &amp; Notes</w:t>
      </w:r>
    </w:p>
    <w:p>
      <w:pPr>
        <w:numPr>
          <w:ilvl w:val="0"/>
          <w:numId w:val="1006"/>
        </w:numPr>
        <w:pStyle w:val="Compact"/>
      </w:pPr>
      <w:r>
        <w:t xml:space="preserve">Some RTF producers wrap numbers in groups: watch for</w:t>
      </w:r>
      <w:r>
        <w:t xml:space="preserve"> </w:t>
      </w:r>
      <w:r>
        <w:rPr>
          <w:rStyle w:val="VerbatimChar"/>
        </w:rPr>
        <w:t xml:space="preserve">{\*\pntext ...}</w:t>
      </w:r>
      <w:r>
        <w:t xml:space="preserve"> </w:t>
      </w:r>
      <w:r>
        <w:t xml:space="preserve">or nested groups; the parser handles nested groups and toggles</w:t>
      </w:r>
      <w:r>
        <w:t xml:space="preserve"> </w:t>
      </w:r>
      <w:r>
        <w:rPr>
          <w:rStyle w:val="VerbatimChar"/>
        </w:rPr>
        <w:t xml:space="preserve">\super</w:t>
      </w:r>
      <w:r>
        <w:t xml:space="preserve"> </w:t>
      </w:r>
      <w:r>
        <w:t xml:space="preserve">state correctly.</w:t>
      </w:r>
    </w:p>
    <w:p>
      <w:pPr>
        <w:numPr>
          <w:ilvl w:val="0"/>
          <w:numId w:val="1006"/>
        </w:numPr>
        <w:pStyle w:val="Compact"/>
      </w:pPr>
      <w:r>
        <w:t xml:space="preserve">RTF</w:t>
      </w:r>
      <w:r>
        <w:t xml:space="preserve"> </w:t>
      </w:r>
      <w:r>
        <w:rPr>
          <w:rStyle w:val="VerbatimChar"/>
        </w:rPr>
        <w:t xml:space="preserve">\fsN</w:t>
      </w:r>
      <w:r>
        <w:t xml:space="preserve"> </w:t>
      </w:r>
      <w:r>
        <w:t xml:space="preserve">changes can occur mid-paragraph; keep a current</w:t>
      </w:r>
      <w:r>
        <w:t xml:space="preserve"> </w:t>
      </w:r>
      <w:r>
        <w:t xml:space="preserve">“</w:t>
      </w:r>
      <w:r>
        <w:t xml:space="preserve">font state</w:t>
      </w:r>
      <w:r>
        <w:t xml:space="preserve">”</w:t>
      </w:r>
      <w:r>
        <w:t xml:space="preserve"> </w:t>
      </w:r>
      <w:r>
        <w:t xml:space="preserve">while iterating tokens.</w:t>
      </w:r>
    </w:p>
    <w:p>
      <w:pPr>
        <w:numPr>
          <w:ilvl w:val="0"/>
          <w:numId w:val="1006"/>
        </w:numPr>
        <w:pStyle w:val="Compact"/>
      </w:pPr>
      <w:r>
        <w:t xml:space="preserve">Handle chapter spans with headings or section titles interleaved—ignore non-numeric superscripts for verse starts.</w:t>
      </w:r>
    </w:p>
    <w:p>
      <w:pPr>
        <w:numPr>
          <w:ilvl w:val="0"/>
          <w:numId w:val="1006"/>
        </w:numPr>
        <w:pStyle w:val="Compact"/>
      </w:pPr>
      <w:r>
        <w:t xml:space="preserve">Unicode escapes</w:t>
      </w:r>
      <w:r>
        <w:t xml:space="preserve"> </w:t>
      </w:r>
      <w:r>
        <w:rPr>
          <w:rStyle w:val="VerbatimChar"/>
        </w:rPr>
        <w:t xml:space="preserve">\'hh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\uN?</w:t>
      </w:r>
      <w:r>
        <w:t xml:space="preserve"> </w:t>
      </w:r>
      <w:r>
        <w:t xml:space="preserve">must be decoded.</w:t>
      </w:r>
    </w:p>
    <w:p>
      <w:pPr>
        <w:numPr>
          <w:ilvl w:val="0"/>
          <w:numId w:val="1006"/>
        </w:numPr>
        <w:pStyle w:val="Compact"/>
      </w:pPr>
      <w:r>
        <w:t xml:space="preserve">If a chapter number appears immediately before a verse superscript (e.g.,</w:t>
      </w:r>
      <w:r>
        <w:t xml:space="preserve"> </w:t>
      </w:r>
      <w:r>
        <w:t xml:space="preserve">“</w:t>
      </w:r>
      <w:r>
        <w:t xml:space="preserve">1^1</w:t>
      </w:r>
      <w:r>
        <w:t xml:space="preserve">”</w:t>
      </w:r>
      <w:r>
        <w:t xml:space="preserve">), treat the large number as chapter, the superscript as verse 1.</w:t>
      </w:r>
    </w:p>
    <w:p>
      <w:pPr>
        <w:numPr>
          <w:ilvl w:val="0"/>
          <w:numId w:val="1006"/>
        </w:numPr>
        <w:pStyle w:val="Compact"/>
      </w:pPr>
      <w:r>
        <w:t xml:space="preserve">If a verse appears before any chapter (rare), assume chapter 1 until a chapter token appears.</w:t>
      </w:r>
    </w:p>
    <w:bookmarkEnd w:id="25"/>
    <w:bookmarkStart w:id="26" w:name="directory-layout-run"/>
    <w:p>
      <w:pPr>
        <w:pStyle w:val="Heading2"/>
      </w:pPr>
      <w:r>
        <w:t xml:space="preserve">Directory Layout &amp; Run</w:t>
      </w:r>
    </w:p>
    <w:p>
      <w:pPr>
        <w:numPr>
          <w:ilvl w:val="0"/>
          <w:numId w:val="1007"/>
        </w:numPr>
        <w:pStyle w:val="Compact"/>
      </w:pPr>
      <w:r>
        <w:t xml:space="preserve">Drop RTF files into an input folder (e.g.,</w:t>
      </w:r>
      <w:r>
        <w:t xml:space="preserve"> </w:t>
      </w:r>
      <w:r>
        <w:rPr>
          <w:rStyle w:val="VerbatimChar"/>
        </w:rPr>
        <w:t xml:space="preserve">./rtf_in/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python rtf2excel.py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Outputs Excel files into</w:t>
      </w:r>
      <w:r>
        <w:t xml:space="preserve"> </w:t>
      </w:r>
      <w:r>
        <w:rPr>
          <w:rStyle w:val="VerbatimChar"/>
        </w:rPr>
        <w:t xml:space="preserve">./xlsx_out/</w:t>
      </w:r>
      <w:r>
        <w:t xml:space="preserve"> </w:t>
      </w:r>
      <w:r>
        <w:t xml:space="preserve">by default.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2025-08-24T14:33:19Z</dcterms:created>
  <dcterms:modified xsi:type="dcterms:W3CDTF">2025-08-24T14:33:19Z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