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charts/chart1.xml" ContentType="application/vnd.openxmlformats-officedocument.drawingml.chart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a4693380e314950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3D Chart</w:t>
      </w:r>
    </w:p>
    <w:p>
      <w:pPr>
        <w:spacing w:after="200"/>
      </w:pPr>
      <w:r>
        <w:rPr>
          <w:lang w:val="en-US"/>
          <w:sz w:val="30"/>
          <w:szCs w:val="30"/>
        </w:rPr>
        <w:t>Expenses(M$) for selected categories in Brazil</w:t>
      </w:r>
    </w:p>
    <w:p>
      <w:pPr/>
      <w:r xmlns:w="http://schemas.openxmlformats.org/wordprocessingml/2006/main">
        <drawing xmlns="http://schemas.openxmlformats.org/wordprocessingml/2006/main">
          <wp:inline xmlns:wp="http://schemas.openxmlformats.org/drawingml/2006/wordprocessingDrawing">
            <wp:extent cx="5486400" cy="3200400"/>
            <wp:effectExtent l="0" t="0" r="19050" b="19050"/>
            <wp:docPr id="2" name="chart"/>
            <a:graphic xmlns:a="http://schemas.openxmlformats.org/drawingml/2006/main">
              <a:graphicData uri="http://schemas.openxmlformats.org/drawingml/2006/chart">
                <c:chart xmlns:p6="http://schemas.openxmlformats.org/officeDocument/2006/relationships" xmlns:c="http://schemas.openxmlformats.org/drawingml/2006/chart" p6:id="rId1"/>
              </a:graphicData>
            </a:graphic>
          </wp:inline>
        </drawing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3c4bae2888f84247" /><Relationship Type="http://schemas.openxmlformats.org/officeDocument/2006/relationships/numbering" Target="/word/numbering.xml" Id="R025ba38d01de4eda" /><Relationship Type="http://schemas.openxmlformats.org/officeDocument/2006/relationships/settings" Target="/word/settings.xml" Id="R2ceddb035d7e42a2" /><Relationship Type="http://schemas.openxmlformats.org/officeDocument/2006/relationships/chart" Target="/word/charts/chart1.xml" Id="rId1" 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roundedCorners val="0"/>
  <c:chart>
    <c:autoTitleDeleted val="0"/>
    <c:plotArea>
      <c:layout/>
      <c:bar3DChart xmlns:c="http://schemas.openxmlformats.org/drawingml/2006/chart">
        <c:barDir val="col"/>
        <c:grouping val="clustered"/>
        <c:gapWidth val="150"/>
        <c:axId xmlns:c="http://schemas.openxmlformats.org/drawingml/2006/chart" val="148921728"/>
        <c:axId xmlns:c="http://schemas.openxmlformats.org/drawingml/2006/chart" val="154227840"/>
        <c:overlap val="0"/>
        <c:dLbls xmlns:c="http://schemas.openxmlformats.org/drawingml/2006/chart"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ser>
          <c:idx val="1"/>
          <c:order val="1"/>
          <c:tx>
            <c:strRef>
              <c:f/>
              <c:strCache>
                <c:pt idx="0">
                  <c:v>Brazil</c:v>
                </c:pt>
              </c:strCache>
            </c:strRef>
          </c:tx>
          <c:spPr>
            <a:solidFill>
              <a:srgbClr val="ADFF2F"/>
            </a:solidFill>
          </c:spPr>
          <c:invertIfNegative>0</c:invertIfNegative>
          <c:cat>
            <c:strRef>
              <c:f/>
              <c:strCache>
                <c:ptCount val="4"/>
                <c:pt idx="0">
                  <c:v>Food</c:v>
                </c:pt>
                <c:pt idx="1">
                  <c:v>Housing</c:v>
                </c:pt>
                <c:pt idx="2">
                  <c:v>Transportation</c:v>
                </c:pt>
                <c:pt idx="3">
                  <c:v>Health Care</c:v>
                </c:pt>
              </c:strCache>
            </c:strRef>
          </c:cat>
          <c:val>
            <c:numRef>
              <c:f/>
              <c:numCache>
                <c:formatCode>General</c:formatCode>
                <c:ptCount val="4"/>
                <c:pt idx="0">
                  <c:v>125</c:v>
                </c:pt>
                <c:pt idx="1">
                  <c:v>80</c:v>
                </c:pt>
                <c:pt idx="2">
                  <c:v>110</c:v>
                </c:pt>
                <c:pt idx="3">
                  <c:v>60</c:v>
                </c:pt>
              </c:numCache>
            </c:numRef>
          </c:val>
        </c:ser>
      </c:bar3DChart>
      <c:catAx xmlns:c="http://schemas.openxmlformats.org/drawingml/2006/chart">
        <c:axId val="148921728"/>
        <c:scaling>
          <c:orientation val="minMax"/>
        </c:scaling>
        <c:delete val="0"/>
        <c:axPos val="b"/>
        <c:majorTickMark val="out"/>
        <c:minorTickMark val="none"/>
        <c:tickLblPos val="nextTo"/>
        <c:crossAx val="154227840"/>
        <c:crosses val="autoZero"/>
        <c:auto val="1"/>
        <c:lblAlgn val="ctr"/>
        <c:lblOffset val="100"/>
        <c:noMultiLvlLbl val="0"/>
      </c:catAx>
      <c:valAx xmlns:c="http://schemas.openxmlformats.org/drawingml/2006/chart">
        <c:axId val="154227840"/>
        <c:scaling>
          <c:orientation val="minMax"/>
        </c:scaling>
        <c:delete val="0"/>
        <c:axPos val="l"/>
        <c:numFmt sourceLinked="0" formatCode="General"/>
        <c:majorGridlines/>
        <c:majorTickMark val="out"/>
        <c:minorTickMark val="none"/>
        <c:tickLblPos val="nextTo"/>
        <c:crossAx val="148921728"/>
        <c:crosses val="autoZero"/>
        <c:crossBetween val="between"/>
      </c:valAx>
    </c:plotArea>
    <c:plotVisOnly val="1"/>
    <c:dispBlanksAs val="gap"/>
    <c:showDLblsOverMax val="0"/>
  </c:chart>
</c:chartSpace>
</file>