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83fc87b6c1483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Bar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per country</w:t>
      </w:r>
    </w:p>
    <w:p>
      <w:pPr/>
      <w:r>
        <w:drawing>
          <wp:inline>
            <wp:extent cx="4445000" cy="69850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10b03a0c34d4ea2" /><Relationship Type="http://schemas.openxmlformats.org/officeDocument/2006/relationships/numbering" Target="/word/numbering.xml" Id="Rf4e2f0ac979546a6" /><Relationship Type="http://schemas.openxmlformats.org/officeDocument/2006/relationships/settings" Target="/word/settings.xml" Id="R66da069250934108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bar"/>
        <c:grouping val="standard"/>
        <c:gapWidth val="20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USA</c:v>
                </c:pt>
              </c:strCache>
            </c:strRef>
          </c:tx>
          <c:spPr>
            <a:solidFill>
              <a:srgbClr val="ADD8E6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Canada</c:v>
                </c:pt>
              </c:strCache>
            </c:strRef>
          </c:tx>
          <c:spPr>
            <a:solidFill>
              <a:srgbClr val="808080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