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907d288b30450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2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a642010b59c74033"/>
      <w:headerReference w:type="first" r:id="R6a2210fc25664c9c"/>
      <w:headerReference w:type="default" r:id="R98a7eb8f0fd84284"/>
      <w:footerReference w:type="even" r:id="R053d510ef9bb4953"/>
      <w:footerReference w:type="first" r:id="R2323b0d1a7834230"/>
      <w:footerReference w:type="default" r:id="R064693e85f62497b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blGrid>
      <w:gridCol w:w="4510"/>
      <w:gridCol w:w="4510"/>
    </w:tblGrid>
    <w:tr>
      <w:tc>
        <w:tcPr>
          <w:tcW w:w="45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4510" w:type="pc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add6be05b5349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blGrid>
      <w:gridCol w:w="4510"/>
      <w:gridCol w:w="4510"/>
    </w:tblGrid>
    <w:tr>
      <w:tc>
        <w:tcPr>
          <w:tcW w:w="4510" w:type="pct"/>
        </w:tcPr>
        <w:p>
          <w:pPr>
            <w:jc w:val="lef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4ee927665a64e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45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e2a8924829421e" /><Relationship Type="http://schemas.openxmlformats.org/officeDocument/2006/relationships/numbering" Target="/word/numbering.xml" Id="Rb32170f1f9e04283" /><Relationship Type="http://schemas.openxmlformats.org/officeDocument/2006/relationships/settings" Target="/word/settings.xml" Id="Rcceb16bb39cf4afe" /><Relationship Type="http://schemas.openxmlformats.org/officeDocument/2006/relationships/header" Target="/word/header1.xml" Id="Ra642010b59c74033" /><Relationship Type="http://schemas.openxmlformats.org/officeDocument/2006/relationships/header" Target="/word/header2.xml" Id="R6a2210fc25664c9c" /><Relationship Type="http://schemas.openxmlformats.org/officeDocument/2006/relationships/header" Target="/word/header3.xml" Id="R98a7eb8f0fd84284" /><Relationship Type="http://schemas.openxmlformats.org/officeDocument/2006/relationships/footer" Target="/word/footer1.xml" Id="R053d510ef9bb4953" /><Relationship Type="http://schemas.openxmlformats.org/officeDocument/2006/relationships/footer" Target="/word/footer2.xml" Id="R2323b0d1a7834230" /><Relationship Type="http://schemas.openxmlformats.org/officeDocument/2006/relationships/footer" Target="/word/footer3.xml" Id="R064693e85f62497b" /><Relationship Type="http://schemas.openxmlformats.org/officeDocument/2006/relationships/image" Target="/word/media/4d847d00-85c5-46fd-a25d-3a8c177e7551.png" Id="Ra9a2865a0ba047e5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4d847d00-85c5-46fd-a25d-3a8c177e7551.png" Id="R0add6be05b5349d6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4d847d00-85c5-46fd-a25d-3a8c177e7551.png" Id="Ra4ee927665a64e15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