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721093d04046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75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75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38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38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199eb8cf9d411d" /><Relationship Type="http://schemas.openxmlformats.org/officeDocument/2006/relationships/numbering" Target="/word/numbering.xml" Id="R23129ff1e87e401d" /><Relationship Type="http://schemas.openxmlformats.org/officeDocument/2006/relationships/settings" Target="/word/settings.xml" Id="Rb3b5d415c9c342bb" /></Relationships>
</file>