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Cloud Commerce</w:t>
      </w:r>
    </w:p>
    <w:p>
      <w:pPr>
        <w:pStyle w:val="Subtitle"/>
        <w:jc w:val="center"/>
      </w:pPr>
      <w:r>
        <w:t>Documentação arquitetural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Descrição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Disciplina</w:t>
            </w:r>
          </w:p>
        </w:tc>
        <w:tc>
          <w:tcPr>
            <w:tcW w:type="dxa" w:w="4680"/>
            <w:vAlign w:val="center"/>
          </w:tcPr>
          <w:p>
            <w:r>
              <w:t>Sistemas Baseados em Eventos e Mensageria Distribuída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Professor</w:t>
            </w:r>
          </w:p>
        </w:tc>
        <w:tc>
          <w:tcPr>
            <w:tcW w:type="dxa" w:w="4680"/>
            <w:vAlign w:val="center"/>
          </w:tcPr>
          <w:p>
            <w:r>
              <w:t>Rômulo F. Douro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Projeto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 Commerce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Entrega</w:t>
            </w:r>
          </w:p>
        </w:tc>
        <w:tc>
          <w:tcPr>
            <w:tcW w:type="dxa" w:w="4680"/>
            <w:vAlign w:val="center"/>
          </w:tcPr>
          <w:p>
            <w:r>
              <w:t>Repositório GitHub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2026-08-27</w:t>
            </w:r>
          </w:p>
        </w:tc>
      </w:tr>
    </w:tbl>
    <w:p/>
    <w:p>
      <w:pPr>
        <w:pStyle w:val="Heading1"/>
      </w:pPr>
      <w:r>
        <w:t>1. Introdução</w:t>
      </w:r>
    </w:p>
    <w:p>
      <w:r>
        <w:t>O Cloud Commerce é um projeto didático de e-commerce desenvolvido para aplicar conceitos de Arquitetura Orientada a Eventos (EDA), microsserviços, mensageria assíncrona e conteinerização.</w:t>
      </w:r>
    </w:p>
    <w:p>
      <w:r>
        <w:t>O fluxo escolhido foi a criação de pedidos com validação de estoque. O serviço de pedido publica um evento no RabbitMQ, o serviço de estoque consome esse evento, valida disponibilidade, baixa a quantidade quando possível e publica uma resposta para atualização do status do pedido.</w:t>
      </w:r>
    </w:p>
    <w:p>
      <w:r>
        <w:t>O enunciado sugere H2 ou SQLite. Neste projeto foi mantido Supabase/PostgreSQL porque a aplicação já havia sido criada dessa forma antes da adequação ao trabalho.</w:t>
      </w:r>
    </w:p>
    <w:p>
      <w:pPr>
        <w:pStyle w:val="Heading1"/>
      </w:pPr>
      <w:r>
        <w:t>2. Tecnologias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Tecnologia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Uso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 21</w:t>
            </w:r>
          </w:p>
        </w:tc>
        <w:tc>
          <w:tcPr>
            <w:tcW w:type="dxa" w:w="4680"/>
            <w:vAlign w:val="center"/>
          </w:tcPr>
          <w:p>
            <w:r>
              <w:t>Linguagem dos serviços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Boot 4.1.0</w:t>
            </w:r>
          </w:p>
        </w:tc>
        <w:tc>
          <w:tcPr>
            <w:tcW w:type="dxa" w:w="4680"/>
            <w:vAlign w:val="center"/>
          </w:tcPr>
          <w:p>
            <w:r>
              <w:t>APIs REST e aplicação web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Web</w:t>
            </w:r>
          </w:p>
        </w:tc>
        <w:tc>
          <w:tcPr>
            <w:tcW w:type="dxa" w:w="4680"/>
            <w:vAlign w:val="center"/>
          </w:tcPr>
          <w:p>
            <w:r>
              <w:t>Exposição dos endpoints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Data JPA</w:t>
            </w:r>
          </w:p>
        </w:tc>
        <w:tc>
          <w:tcPr>
            <w:tcW w:type="dxa" w:w="4680"/>
            <w:vAlign w:val="center"/>
          </w:tcPr>
          <w:p>
            <w:r>
              <w:t>Persistência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AMQP</w:t>
            </w:r>
          </w:p>
        </w:tc>
        <w:tc>
          <w:tcPr>
            <w:tcW w:type="dxa" w:w="4680"/>
            <w:vAlign w:val="center"/>
          </w:tcPr>
          <w:p>
            <w:r>
              <w:t>Integração com RabbitMQ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PostgreSQL/Supabase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Banco de dados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Broker de mensagens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Docker Compose</w:t>
            </w:r>
          </w:p>
        </w:tc>
        <w:tc>
          <w:tcPr>
            <w:tcW w:type="dxa" w:w="4680"/>
            <w:vAlign w:val="center"/>
          </w:tcPr>
          <w:p>
            <w:r>
              <w:t>Execução local do RabbitMQ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Thymeleaf, JavaScript e Bootstrap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 web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Maven</w:t>
            </w:r>
          </w:p>
        </w:tc>
        <w:tc>
          <w:tcPr>
            <w:tcW w:type="dxa" w:w="4680"/>
            <w:vAlign w:val="center"/>
          </w:tcPr>
          <w:p>
            <w:r>
              <w:t>Build dos serviços</w:t>
            </w:r>
          </w:p>
        </w:tc>
      </w:tr>
    </w:tbl>
    <w:p/>
    <w:p>
      <w:pPr>
        <w:pStyle w:val="Heading1"/>
      </w:pPr>
      <w:r>
        <w:t>3. Arquitetura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>
              <w:t>Serviço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Porta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Responsabilidade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8081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 web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8082</w:t>
            </w:r>
          </w:p>
        </w:tc>
        <w:tc>
          <w:tcPr>
            <w:tcW w:type="dxa" w:w="3120"/>
            <w:vAlign w:val="center"/>
          </w:tcPr>
          <w:p>
            <w:r>
              <w:t>Catálogo de produtos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8083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Consulta e baixa de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8084</w:t>
            </w:r>
          </w:p>
        </w:tc>
        <w:tc>
          <w:tcPr>
            <w:tcW w:type="dxa" w:w="3120"/>
            <w:vAlign w:val="center"/>
          </w:tcPr>
          <w:p>
            <w:r>
              <w:t>Criação, status e auditoria de pedidos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5672 / 15672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Mensageria e painel administrativo</w:t>
            </w:r>
          </w:p>
        </w:tc>
      </w:tr>
    </w:tbl>
    <w:p/>
    <w:p>
      <w:pPr>
        <w:pStyle w:val="CodeBlock"/>
      </w:pPr>
      <w:r>
        <w:t>Usuário -&gt; cloud-commerce</w:t>
        <w:br/>
        <w:t>cloud-commerce -&gt; produto/estoque/pedido via HTTP</w:t>
        <w:br/>
        <w:t>pedido -&gt; DirectExchange: pedido.solicitado</w:t>
        <w:br/>
        <w:t>estoque -&gt; DirectExchange: estoque.resposta</w:t>
        <w:br/>
        <w:t>pedido -&gt; TopicExchange: pedido.sem-resposta-estoque</w:t>
        <w:br/>
        <w:t>TopicExchange -&gt; fila de auditoria</w:t>
      </w:r>
    </w:p>
    <w:p>
      <w:pPr>
        <w:pStyle w:val="Heading1"/>
      </w:pPr>
      <w:r>
        <w:t>4. Decisões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>
              <w:t>Decisão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Justificativa</w:t>
            </w:r>
          </w:p>
        </w:tc>
      </w:tr>
      <w:tr>
        <w:tc>
          <w:tcPr>
            <w:tcW w:type="dxa" w:w="4680"/>
            <w:vAlign w:val="center"/>
          </w:tcPr>
          <w:p>
            <w:r>
              <w:t>Microsserviços separados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Permite estudar responsabilidades independentes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HTTP para consultas</w:t>
            </w:r>
          </w:p>
        </w:tc>
        <w:tc>
          <w:tcPr>
            <w:tcW w:type="dxa" w:w="4680"/>
            <w:vAlign w:val="center"/>
          </w:tcPr>
          <w:p>
            <w:r>
              <w:t>Consultas simples ficam diretas e síncronas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 no fluxo pedido/estoque</w:t>
            </w:r>
          </w:p>
        </w:tc>
        <w:tc>
          <w:tcPr>
            <w:tcW w:type="dxa" w:w="4680"/>
            <w:vAlign w:val="center"/>
          </w:tcPr>
          <w:p>
            <w:r>
              <w:t>Reduz acoplamento entre criação de pedido e baixa de estoque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Direct Exchange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Roteamento principal por routing key exata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Topic Exchange</w:t>
            </w:r>
          </w:p>
        </w:tc>
        <w:tc>
          <w:tcPr>
            <w:tcW w:type="dxa" w:w="4680"/>
            <w:vAlign w:val="center"/>
          </w:tcPr>
          <w:p>
            <w:r>
              <w:t>Auditoria com binding por padrão pedido.#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Carrinho no localStorage</w:t>
            </w:r>
          </w:p>
        </w:tc>
        <w:tc>
          <w:tcPr>
            <w:tcW w:type="dxa" w:w="4680"/>
            <w:vAlign w:val="center"/>
          </w:tcPr>
          <w:p>
            <w:r>
              <w:t>Permite simular duas sessões comprando o mesmo item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Supabase/PostgreSQL</w:t>
            </w:r>
          </w:p>
        </w:tc>
        <w:tc>
          <w:tcPr>
            <w:tcW w:type="dxa" w:w="4680"/>
            <w:vAlign w:val="center"/>
          </w:tcPr>
          <w:p>
            <w:r>
              <w:t>Banco já utilizado antes da publicação do enunciado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.env fora do Git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Evita versionar credenciais reais</w:t>
            </w:r>
          </w:p>
        </w:tc>
      </w:tr>
    </w:tbl>
    <w:p/>
    <w:p>
      <w:pPr>
        <w:pStyle w:val="Heading1"/>
      </w:pPr>
      <w:r>
        <w:t>5. Mensageria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Elemento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Nome</w:t>
            </w:r>
          </w:p>
        </w:tc>
        <w:tc>
          <w:tcPr>
            <w:tcW w:type="dxa" w:w="3120"/>
            <w:vAlign w:val="center"/>
            <w:shd w:fill="F2F4F7"/>
          </w:tcPr>
          <w:p>
            <w:r>
              <w:t>Descrição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commerce.pedidos.exchange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Direct Exchange central do fluxo de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commerce.auditoria.topic.exchange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Topic Exchange para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commerce.pedido.solicitado.queue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Consumida pelo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commerce.estoque.resposta.queue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Consumida pelo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commerce.auditoria.pedido.queue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Consumida pelo listener de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Routing key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pedido.solicitado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Roteia pedidos para o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Routing key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estoque.resposta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Roteia respostas para o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Routing key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pedido.sem-resposta-estoque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Roteia auditorias de pedido sem resposta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Binding topic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pedido.#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Recebe eventos de auditoria iniciados por pedido</w:t>
            </w:r>
          </w:p>
        </w:tc>
      </w:tr>
    </w:tbl>
    <w:p/>
    <w:p>
      <w:pPr>
        <w:pStyle w:val="Heading1"/>
      </w:pPr>
      <w:r>
        <w:t>6. Eventos</w:t>
      </w:r>
    </w:p>
    <w:p>
      <w:pPr>
        <w:pStyle w:val="Heading2"/>
      </w:pPr>
      <w:r>
        <w:t>6.1 pedido.solicitado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3120"/>
            <w:vAlign w:val="center"/>
            <w:shd w:fill="F2F4F7"/>
          </w:tcPr>
          <w:p>
            <w:r>
              <w:t>Descrição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Identificador do pedido salvo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valorTotal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BigDecimal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Valor total do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>
              <w:t>Data/hora de criação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 solicitados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itens[].produtoId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 solicitado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itens[].quantidade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Integer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Quantidade solicitada</w:t>
            </w:r>
          </w:p>
        </w:tc>
      </w:tr>
    </w:tbl>
    <w:p/>
    <w:p>
      <w:pPr>
        <w:pStyle w:val="CodeBlock"/>
      </w:pPr>
      <w:r>
        <w:rPr>
          <w:rFonts w:ascii="Consolas" w:hAnsi="Consolas"/>
          <w:sz w:val="18"/>
        </w:rPr>
        <w:t>{"pedidoId":10,"valorTotal":99.90,"itens":[{"produtoId":1,"quantidade":1}]}</w:t>
      </w:r>
    </w:p>
    <w:p>
      <w:pPr>
        <w:pStyle w:val="Heading2"/>
      </w:pPr>
      <w:r>
        <w:t>6.2 estoque.resposta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3120"/>
            <w:vAlign w:val="center"/>
            <w:shd w:fill="F2F4F7"/>
          </w:tcPr>
          <w:p>
            <w:r>
              <w:t>Descrição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 analisado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sucesso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Indica se havia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PROCESSADO ou SEM_ESTOQUE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mensagem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>
              <w:t>Descrição do resultado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respondidoEm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Data/hora da resposta</w:t>
            </w:r>
          </w:p>
        </w:tc>
      </w:tr>
    </w:tbl>
    <w:p/>
    <w:p>
      <w:pPr>
        <w:pStyle w:val="CodeBlock"/>
      </w:pPr>
      <w:r>
        <w:rPr>
          <w:rFonts w:ascii="Consolas" w:hAnsi="Consolas"/>
          <w:sz w:val="18"/>
        </w:rPr>
        <w:t>{"pedidoId":10,"sucesso":true,"status":"PROCESSADO","mensagem":"Estoque baixado com sucesso."}</w:t>
      </w:r>
    </w:p>
    <w:p>
      <w:pPr>
        <w:pStyle w:val="Heading2"/>
      </w:pPr>
      <w:r>
        <w:t>6.3 pedido.sem-resposta-estoque</w:t>
      </w:r>
    </w:p>
    <w:p>
      <w:r>
        <w:t>Publicado pelo serviço pedido quando um pedido permanece PROCESSANDO por mais de 30 segundos sem receber resposta do estoque.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3120"/>
            <w:vAlign w:val="center"/>
            <w:shd w:fill="F2F4F7"/>
          </w:tcPr>
          <w:p>
            <w:r>
              <w:t>Descrição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 auditado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statusAtual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Status no momento da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motivo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>
              <w:t>Explicação da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>
              <w:t>Data/hora de criação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auditadoEm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Data/hora da auditoria</w:t>
            </w:r>
          </w:p>
        </w:tc>
      </w:tr>
    </w:tbl>
    <w:p/>
    <w:p>
      <w:pPr>
        <w:pStyle w:val="Heading1"/>
      </w:pPr>
      <w:r>
        <w:t>7.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r>
              <w:t>Serviço</w:t>
            </w:r>
          </w:p>
        </w:tc>
        <w:tc>
          <w:tcPr>
            <w:tcW w:type="dxa" w:w="2340"/>
            <w:vAlign w:val="center"/>
            <w:shd w:fill="F2F4F7"/>
          </w:tcPr>
          <w:p>
            <w:r>
              <w:t>Método</w:t>
            </w:r>
          </w:p>
        </w:tc>
        <w:tc>
          <w:tcPr>
            <w:tcW w:type="dxa" w:w="234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Endpoint</w:t>
            </w:r>
          </w:p>
        </w:tc>
        <w:tc>
          <w:tcPr>
            <w:tcW w:type="dxa" w:w="2340"/>
            <w:vAlign w:val="center"/>
            <w:shd w:fill="F2F4F7"/>
          </w:tcPr>
          <w:p>
            <w:r>
              <w:t>Descrição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/produtos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produtos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/produtos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 produto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/produtos/{id}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produto por id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estoque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/estoque/{idProduto}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estoque por produto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pedidos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/pedidos/{id}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pedido por id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 pedido e inicia evento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/pedido-itens/pedido/{pedidoId}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itens do pedido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/pedido-itens/{id}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item por id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Home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Tela de produtos/estoque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/carrinho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Tela do carrinho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Tela de pedidos</w:t>
            </w:r>
          </w:p>
        </w:tc>
      </w:tr>
    </w:tbl>
    <w:p/>
    <w:p>
      <w:pPr>
        <w:pStyle w:val="Heading1"/>
      </w:pPr>
      <w:r>
        <w:t>8. Configuração e execução</w:t>
      </w:r>
    </w:p>
    <w:p>
      <w:pPr>
        <w:pStyle w:val="ListBullet"/>
      </w:pPr>
      <w:r>
        <w:t>Abrir o Docker Desktop.</w:t>
      </w:r>
    </w:p>
    <w:p>
      <w:pPr>
        <w:pStyle w:val="ListBullet"/>
      </w:pPr>
      <w:r>
        <w:t>Subir RabbitMQ com Docker Compose na raiz do projeto ou com docker run.</w:t>
      </w:r>
    </w:p>
    <w:p>
      <w:pPr>
        <w:pStyle w:val="ListBullet"/>
      </w:pPr>
      <w:r>
        <w:t>Colocar os arquivos .env recebidos nas pastas produto, estoque e pedido.</w:t>
      </w:r>
    </w:p>
    <w:p>
      <w:pPr>
        <w:pStyle w:val="ListBullet"/>
      </w:pPr>
      <w:r>
        <w:t>Executar os serviços na ordem: RabbitMQ, produto, estoque, pedido e cloud-commerce.</w:t>
      </w:r>
    </w:p>
    <w:p>
      <w:pPr>
        <w:pStyle w:val="CodeBlock"/>
      </w:pPr>
      <w:r>
        <w:t>Set-Location "C:\CAMINHO\PARA\microservicoscommerce"</w:t>
        <w:br/>
        <w:t>docker compose up -d rabbitmq</w:t>
      </w:r>
    </w:p>
    <w:p>
      <w:pPr>
        <w:pStyle w:val="CodeBlock"/>
      </w:pPr>
      <w:r>
        <w:rPr>
          <w:rFonts w:ascii="Consolas" w:hAnsi="Consolas"/>
          <w:sz w:val="18"/>
        </w:rPr>
        <w:t>docker run -d `</w:t>
        <w:br/>
        <w:t xml:space="preserve">  --name commerce-rabbitmq `</w:t>
        <w:br/>
        <w:t xml:space="preserve">  -p 5672:5672 `</w:t>
        <w:br/>
        <w:t xml:space="preserve">  -p 15672:15672 `</w:t>
        <w:br/>
        <w:t xml:space="preserve">  -e RABBITMQ_DEFAULT_USER=guest `</w:t>
        <w:br/>
        <w:t xml:space="preserve">  -e RABBITMQ_DEFAULT_PASS=guest `</w:t>
        <w:br/>
        <w:t xml:space="preserve">  rabbitmq:3.13-management</w:t>
      </w:r>
    </w:p>
    <w:p>
      <w:pPr>
        <w:pStyle w:val="Heading1"/>
      </w:pPr>
      <w:r>
        <w:t>9. Critérios de funcionamento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>
              <w:t>Critério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4680"/>
            <w:vAlign w:val="center"/>
          </w:tcPr>
          <w:p>
            <w:r>
              <w:t>Pelo menos 2 microsserviços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 em Docker local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Produtores e consumidores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Eventos em JSON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 via Spring AMQP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Endpoint REST para iniciar fluxo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Atendido: POST /pedidos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Docker Compose do RabbitMQ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>
              <w:t>README de execução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>
              <w:t>Persistência H2/SQLite</w:t>
            </w:r>
          </w:p>
        </w:tc>
        <w:tc>
          <w:tcPr>
            <w:tcW w:type="dxa" w:w="4680"/>
            <w:vAlign w:val="center"/>
          </w:tcPr>
          <w:p>
            <w:r>
              <w:t>Não usado; projeto manteve Supabase/PostgreSQL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Pelo menos 2 tipos de exchange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Atendido; DirectExchange e TopicExchange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Logs detalhados</w:t>
            </w:r>
          </w:p>
        </w:tc>
        <w:tc>
          <w:tcPr>
            <w:tcW w:type="dxa" w:w="4680"/>
            <w:vAlign w:val="center"/>
          </w:tcPr>
          <w:p>
            <w:r>
              <w:t>Parcial; auditoria possui logs explícitos</w:t>
            </w:r>
          </w:p>
        </w:tc>
      </w:tr>
    </w:tbl>
    <w:p/>
    <w:p>
      <w:pPr>
        <w:pStyle w:val="Heading1"/>
      </w:pPr>
      <w:r>
        <w:t>10. Conclusão</w:t>
      </w:r>
    </w:p>
    <w:p>
      <w:r>
        <w:t>O Cloud Commerce demonstra um fluxo EDA funcional com Spring Boot e RabbitMQ. O serviço de pedido inicia o processo, o estoque valida disponibilidade por evento e o pedido recebe a resposta para atualizar seu status.</w:t>
      </w:r>
    </w:p>
    <w:p>
      <w:r>
        <w:t>A implementação também inclui uma TopicExchange para auditoria de pedidos que permanecem sem resposta do estoque, atendendo ao critério de uso de mais de um tipo de exchange.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60"/>
      <w:ind w:left="216" w:right="216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