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65"/>
      </w:pPr>
      <w:r>
        <w:t>细菌内毒素检验操作规程（2019年版）</w:t>
      </w:r>
    </w:p>
    <w:p>
      <w:pPr>
        <w:pStyle w:val="166"/>
      </w:pPr>
      <w:r>
        <w:t>细菌内毒素检查法</w:t>
      </w:r>
    </w:p>
    <w:p>
      <w:pPr>
        <w:pStyle w:val="167"/>
      </w:pPr>
      <w:r>
        <w:t>1</w:t>
      </w:r>
      <w:r>
        <w:rPr>
          <w:rFonts w:hint="eastAsia"/>
          <w:lang w:val="en-US" w:eastAsia="zh-CN"/>
        </w:rPr>
        <w:t>.</w:t>
      </w:r>
      <w:r>
        <w:t>简述</w:t>
      </w:r>
    </w:p>
    <w:p>
      <w:pPr>
        <w:pStyle w:val="171"/>
      </w:pPr>
      <w:r>
        <w:t>本规范适用于《中国药典》2015年版通则1143细菌内毒素检查法——凝胶法和光度测定法。后者包括浊度法和显色基质法。供试品检测时，可使用其中任何一种方法进行试验。当测定结果有争议时，除另有规定外，以凝胶限度试验结果为准。</w:t>
      </w:r>
    </w:p>
    <w:p>
      <w:pPr>
        <w:pStyle w:val="171"/>
      </w:pPr>
    </w:p>
    <w:p>
      <w:pPr>
        <w:pStyle w:val="168"/>
      </w:pPr>
      <w:r>
        <w:t>1.2 供试品细菌内毒素限值的确定</w:t>
      </w:r>
    </w:p>
    <w:p>
      <w:pPr>
        <w:pStyle w:val="171"/>
      </w:pPr>
    </w:p>
    <w:p>
      <w:pPr>
        <w:pStyle w:val="169"/>
        <w:rPr>
          <w:rFonts w:hint="eastAsia"/>
          <w:b/>
          <w:bCs w:val="0"/>
          <w:lang w:val="en-US" w:eastAsia="zh-CN"/>
        </w:rPr>
      </w:pPr>
      <w:r>
        <w:t xml:space="preserve">1.2.1 </w:t>
      </w:r>
      <w:r>
        <w:rPr>
          <w:rFonts w:hint="eastAsia"/>
          <w:lang w:val="en-US" w:eastAsia="zh-CN"/>
        </w:rPr>
        <w:tab/>
        <w:t>两类</w:t>
      </w:r>
      <w:r>
        <w:rPr>
          <w:b/>
          <w:bCs w:val="0"/>
        </w:rPr>
        <w:t>供试品</w:t>
      </w:r>
      <w:r>
        <w:rPr>
          <w:rFonts w:hint="eastAsia"/>
          <w:b/>
          <w:bCs w:val="0"/>
          <w:lang w:val="en-US" w:eastAsia="zh-CN"/>
        </w:rPr>
        <w:t>的确定</w:t>
      </w:r>
    </w:p>
    <w:p>
      <w:pPr>
        <w:pStyle w:val="169"/>
        <w:rPr>
          <w:rFonts w:hint="default"/>
          <w:b w:val="0"/>
          <w:bCs/>
          <w:lang w:val="en-US" w:eastAsia="zh-CN"/>
        </w:rPr>
      </w:pPr>
      <w:r>
        <w:rPr>
          <w:rFonts w:hint="eastAsia"/>
          <w:b w:val="0"/>
          <w:bCs/>
          <w:lang w:val="en-US" w:eastAsia="zh-CN"/>
        </w:rPr>
        <w:t>两类</w:t>
      </w:r>
      <w:r>
        <w:rPr>
          <w:b w:val="0"/>
          <w:bCs/>
        </w:rPr>
        <w:t>供试品</w:t>
      </w:r>
      <w:r>
        <w:rPr>
          <w:rFonts w:hint="eastAsia"/>
          <w:b w:val="0"/>
          <w:bCs/>
          <w:lang w:val="en-US" w:eastAsia="zh-CN"/>
        </w:rPr>
        <w:t>的确定：</w:t>
      </w:r>
    </w:p>
    <w:p>
      <w:pPr>
        <w:pStyle w:val="169"/>
      </w:pPr>
      <w:r>
        <w:rPr>
          <w:rFonts w:hint="eastAsia"/>
          <w:b w:val="0"/>
          <w:bCs/>
          <w:lang w:val="en-US" w:eastAsia="zh-CN"/>
        </w:rPr>
        <w:t>1.</w:t>
      </w:r>
      <w:r>
        <w:rPr>
          <w:b w:val="0"/>
          <w:bCs/>
        </w:rPr>
        <w:t>《中国药典》或国家标准有规定的，按供试品各论中规定限值。</w:t>
      </w:r>
    </w:p>
    <w:p>
      <w:pPr>
        <w:pStyle w:val="169"/>
        <w:rPr>
          <w:b w:val="0"/>
          <w:bCs/>
        </w:rPr>
      </w:pPr>
      <w:r>
        <w:rPr>
          <w:rFonts w:hint="eastAsia"/>
          <w:b w:val="0"/>
          <w:bCs/>
          <w:lang w:val="en-US" w:eastAsia="zh-CN"/>
        </w:rPr>
        <w:t>2.</w:t>
      </w:r>
      <w:r>
        <w:rPr>
          <w:b w:val="0"/>
          <w:bCs/>
        </w:rPr>
        <w:t>尚无标准规定的，按以下公式确定供试品内毒素限值。</w:t>
      </w:r>
    </w:p>
    <w:p>
      <w:pPr>
        <w:pStyle w:val="169"/>
        <w:rPr>
          <w:rFonts w:ascii="宋体" w:hAnsi="宋体" w:eastAsia="宋体" w:cs="宋体"/>
          <w:b w:val="0"/>
          <w:bCs/>
          <w:sz w:val="24"/>
          <w:szCs w:val="24"/>
        </w:rPr>
      </w:pPr>
      <w:r>
        <w:rPr>
          <w:rFonts w:ascii="宋体" w:hAnsi="宋体" w:eastAsia="宋体" w:cs="宋体"/>
          <w:b w:val="0"/>
          <w:bCs/>
          <w:sz w:val="24"/>
          <w:szCs w:val="24"/>
        </w:rPr>
        <w:t>L=K/M</w:t>
      </w:r>
    </w:p>
    <w:p>
      <w:pPr>
        <w:pStyle w:val="169"/>
        <w:rPr>
          <w:rFonts w:ascii="宋体" w:hAnsi="宋体" w:eastAsia="宋体" w:cs="宋体"/>
          <w:b w:val="0"/>
          <w:bCs/>
          <w:sz w:val="24"/>
          <w:szCs w:val="24"/>
        </w:rPr>
      </w:pPr>
    </w:p>
    <w:p>
      <w:pPr>
        <w:pStyle w:val="171"/>
        <w:ind w:left="0" w:leftChars="0" w:firstLine="0" w:firstLineChars="0"/>
      </w:pPr>
      <w:r>
        <w:t>L 为供试品的细菌内毒素限值，以 EU/ml、EU/mg、EU/U 等表示；</w:t>
      </w:r>
    </w:p>
    <w:p>
      <w:pPr>
        <w:pStyle w:val="171"/>
        <w:ind w:left="0" w:leftChars="0" w:firstLine="0" w:firstLineChars="0"/>
      </w:pPr>
      <w:r>
        <w:t>K 为按规定的给药途径，人用每千克体重每小时最大可接受的内毒素剂量，以 EU/(kg·h) 表示。其中注射剂，K=5 EU/(kg·h)；放射性药品注射剂，K=2.5 EU/(kg·h)；鞘内用药品，K=0.2 EU/(kg·h)；</w:t>
      </w:r>
    </w:p>
    <w:p>
      <w:pPr>
        <w:pStyle w:val="171"/>
        <w:ind w:left="0" w:leftChars="0" w:firstLine="0" w:firstLineChars="0"/>
      </w:pPr>
      <w:r>
        <w:t>M 为人用每千克体重每小时最大剂量，以 ml/(kg·h)、mg/(kg·h)、U/(kg·h) 等表示。药品人用最大剂量可依据药品使用说明书或参阅《临床用药须知》，中国人均体重按 60kg 计算，人体表面积按 1.62m² 计算。注射时间小于1小时的按1小时计算。</w:t>
      </w:r>
    </w:p>
    <w:p>
      <w:pPr>
        <w:pStyle w:val="172"/>
        <w:ind w:firstLine="720" w:firstLineChars="0"/>
        <w:jc w:val="both"/>
      </w:pPr>
      <w:r>
        <w:t>若供试品按体表面积给药，供试品每平方米体表面积剂量乘以 0.027 即可转换为每千克体重剂量，即</w:t>
      </w:r>
      <w:r>
        <w:rPr>
          <w:rFonts w:hint="eastAsia"/>
          <w:lang w:eastAsia="zh-CN"/>
        </w:rPr>
        <w:t>：</w:t>
      </w:r>
      <w:r>
        <w:t/>
      </w:r>
      <w:r>
        <w:rPr>
          <w:rFonts w:hint="eastAsia"/>
          <w:lang w:val="en-US" w:eastAsia="zh-CN"/>
        </w:rPr>
        <w:tab/>
        <w:t>M</w:t>
      </w:r>
      <w:r>
        <w:t>=[最大给药剂量/(𝑚2⋅ℎ)×1.62𝑚2]/60𝑘𝑔</w:t>
      </w:r>
    </w:p>
    <w:p>
      <w:pPr>
        <w:pStyle w:val="171"/>
      </w:pPr>
    </w:p>
    <w:p>
      <w:pPr>
        <w:pStyle w:val="168"/>
      </w:pPr>
      <w:r>
        <w:t>1.3 供试品最大有效稀释倍数的确定</w:t>
      </w:r>
    </w:p>
    <w:p>
      <w:pPr>
        <w:pStyle w:val="171"/>
        <w:rPr>
          <w:rFonts w:hint="eastAsia" w:eastAsia="宋体"/>
          <w:lang w:eastAsia="zh-CN"/>
        </w:rPr>
      </w:pPr>
      <w:r>
        <w:t>供试品最大有效稀释倍数的确定</w:t>
      </w:r>
      <w:r>
        <w:rPr>
          <w:rFonts w:hint="eastAsia"/>
          <w:lang w:eastAsia="zh-CN"/>
        </w:rPr>
        <w:t>：</w:t>
      </w:r>
    </w:p>
    <w:p>
      <w:pPr>
        <w:pStyle w:val="171"/>
      </w:pPr>
      <w:r>
        <w:t>供试品的最大有效稀释倍数 (MVD) 按下式计算：</w:t>
      </w:r>
    </w:p>
    <w:p>
      <w:pPr>
        <w:pStyle w:val="171"/>
        <w:ind w:firstLine="2568" w:firstLineChars="0"/>
      </w:pPr>
      <w:r>
        <w:t>MVD=c⋅L/λ</w:t>
      </w:r>
    </w:p>
    <w:p>
      <w:pPr>
        <w:pStyle w:val="171"/>
      </w:pPr>
      <w:r>
        <w:t>式中：</w:t>
      </w:r>
    </w:p>
    <w:p>
      <w:pPr>
        <w:pStyle w:val="171"/>
      </w:pPr>
      <w:r>
        <w:t>L 为供试品的细菌内毒素限值；</w:t>
      </w:r>
    </w:p>
    <w:p>
      <w:pPr>
        <w:pStyle w:val="171"/>
      </w:pPr>
      <w:r>
        <w:t>c 为供试品溶液的浓度；</w:t>
      </w:r>
    </w:p>
    <w:p>
      <w:pPr>
        <w:pStyle w:val="171"/>
      </w:pPr>
      <w:r>
        <w:t>λ 为在凝胶法中鲎试剂的标示灵敏度（EU/ml），或在光度测定法中检测使用的最低内毒素浓度。</w:t>
      </w:r>
    </w:p>
    <w:p>
      <w:pPr>
        <w:pStyle w:val="171"/>
      </w:pPr>
    </w:p>
    <w:p>
      <w:pPr>
        <w:pStyle w:val="167"/>
        <w:numPr>
          <w:ilvl w:val="0"/>
          <w:numId w:val="7"/>
        </w:numPr>
      </w:pPr>
      <w:r>
        <w:rPr>
          <w:rFonts w:hint="eastAsia"/>
          <w:lang w:val="en-US" w:eastAsia="zh-CN"/>
        </w:rPr>
        <w:t>本文档提及到的</w:t>
      </w:r>
      <w:r>
        <w:t>仪器与用具</w:t>
      </w:r>
    </w:p>
    <w:p>
      <w:pPr>
        <w:pStyle w:val="167"/>
        <w:numPr>
          <w:numId w:val="0"/>
        </w:numPr>
        <w:rPr>
          <w:rFonts w:hint="eastAsia" w:eastAsia="宋体"/>
          <w:b w:val="0"/>
          <w:bCs/>
          <w:sz w:val="24"/>
          <w:szCs w:val="24"/>
          <w:lang w:eastAsia="zh-CN"/>
        </w:rPr>
      </w:pPr>
      <w:r>
        <w:rPr>
          <w:rFonts w:hint="eastAsia"/>
          <w:b w:val="0"/>
          <w:bCs/>
          <w:sz w:val="24"/>
          <w:szCs w:val="24"/>
          <w:lang w:val="en-US" w:eastAsia="zh-CN"/>
        </w:rPr>
        <w:t>本文档提及到的</w:t>
      </w:r>
      <w:r>
        <w:rPr>
          <w:b w:val="0"/>
          <w:bCs/>
          <w:sz w:val="24"/>
          <w:szCs w:val="24"/>
        </w:rPr>
        <w:t>仪器与用具</w:t>
      </w:r>
      <w:r>
        <w:rPr>
          <w:rFonts w:hint="eastAsia"/>
          <w:b w:val="0"/>
          <w:bCs/>
          <w:sz w:val="24"/>
          <w:szCs w:val="24"/>
          <w:lang w:val="en-US" w:eastAsia="zh-CN"/>
        </w:rPr>
        <w:t>统一规范</w:t>
      </w:r>
      <w:r>
        <w:rPr>
          <w:rFonts w:hint="eastAsia"/>
          <w:b w:val="0"/>
          <w:bCs/>
          <w:sz w:val="24"/>
          <w:szCs w:val="24"/>
          <w:lang w:eastAsia="zh-CN"/>
        </w:rPr>
        <w:t>：</w:t>
      </w:r>
    </w:p>
    <w:p>
      <w:pPr>
        <w:pStyle w:val="171"/>
        <w:ind w:left="0" w:leftChars="0" w:firstLine="0" w:firstLineChars="0"/>
      </w:pPr>
      <w:r>
        <w:rPr>
          <w:rFonts w:hint="eastAsia"/>
          <w:lang w:val="en-US" w:eastAsia="zh-CN"/>
        </w:rPr>
        <w:t>1.</w:t>
      </w:r>
      <w:r>
        <w:t>天平：供试品称量用，分度值为 0.1mg 以下。</w:t>
      </w:r>
    </w:p>
    <w:p>
      <w:pPr>
        <w:pStyle w:val="171"/>
        <w:ind w:left="0" w:leftChars="0" w:firstLine="0" w:firstLineChars="0"/>
      </w:pPr>
      <w:r>
        <w:rPr>
          <w:rFonts w:hint="eastAsia"/>
          <w:lang w:val="en-US" w:eastAsia="zh-CN"/>
        </w:rPr>
        <w:t>2.</w:t>
      </w:r>
      <w:r>
        <w:t>电热干燥箱：用于去除外源性内毒素，温度应能达到 250℃。</w:t>
      </w:r>
    </w:p>
    <w:p>
      <w:pPr>
        <w:pStyle w:val="171"/>
        <w:ind w:left="0" w:leftChars="0" w:firstLine="0" w:firstLineChars="0"/>
      </w:pPr>
      <w:r>
        <w:rPr>
          <w:rFonts w:hint="eastAsia"/>
          <w:lang w:val="en-US" w:eastAsia="zh-CN"/>
        </w:rPr>
        <w:t>3.</w:t>
      </w:r>
      <w:r>
        <w:t>其他仪器：恒温水浴箱或适宜的恒温器（37℃±1℃）、旋涡混合器、细菌内毒素光度测定仪器。</w:t>
      </w:r>
    </w:p>
    <w:p>
      <w:pPr>
        <w:pStyle w:val="171"/>
        <w:ind w:left="0" w:leftChars="0" w:firstLine="0" w:firstLineChars="0"/>
      </w:pPr>
      <w:r>
        <w:rPr>
          <w:rFonts w:hint="eastAsia"/>
          <w:lang w:val="en-US" w:eastAsia="zh-CN"/>
        </w:rPr>
        <w:t>4.</w:t>
      </w:r>
      <w:r>
        <w:t>试验用具：移液管（或刻度吸管、微量加样器及无热原吸头）、凝集管（10mm x 75mm）、试管、试管架、洗耳球、封口膜、时钟、75%酒精棉球、剪刀、砂轮。</w:t>
      </w:r>
    </w:p>
    <w:p>
      <w:pPr>
        <w:pStyle w:val="171"/>
      </w:pPr>
      <w:r>
        <w:t>试验所用的器皿需经过处理，以去除可能存在的外源性内毒素。耐热器皿常用干热灭菌法 250℃、30分钟以上去除，也可采用其他确证不干扰细菌内毒素检查的适宜方法。</w:t>
      </w:r>
    </w:p>
    <w:p>
      <w:pPr>
        <w:pStyle w:val="171"/>
      </w:pPr>
      <w:r>
        <w:t>若使用塑料器具，如微孔板和与微量加样器配套的吸头等，应选用标明无内毒素并且对试验无干扰的器具。</w:t>
      </w:r>
    </w:p>
    <w:p>
      <w:pPr>
        <w:pStyle w:val="171"/>
        <w:rPr>
          <w:rFonts w:hint="eastAsia" w:eastAsia="宋体"/>
          <w:lang w:val="en-US" w:eastAsia="zh-CN"/>
        </w:rPr>
      </w:pPr>
    </w:p>
    <w:p>
      <w:pPr>
        <w:pStyle w:val="171"/>
        <w:rPr>
          <w:rFonts w:hint="eastAsia" w:eastAsia="宋体"/>
          <w:lang w:val="en-US" w:eastAsia="zh-CN"/>
        </w:rPr>
      </w:pPr>
    </w:p>
    <w:p>
      <w:pPr>
        <w:pStyle w:val="171"/>
        <w:rPr>
          <w:rFonts w:hint="eastAsia" w:eastAsia="宋体"/>
          <w:lang w:val="en-US" w:eastAsia="zh-CN"/>
        </w:rPr>
      </w:pPr>
    </w:p>
    <w:p>
      <w:pPr>
        <w:pStyle w:val="167"/>
      </w:pPr>
      <w:r>
        <w:t>3</w:t>
      </w:r>
      <w:r>
        <w:rPr>
          <w:rFonts w:hint="eastAsia"/>
          <w:lang w:val="en-US" w:eastAsia="zh-CN"/>
        </w:rPr>
        <w:t>.</w:t>
      </w:r>
      <w:r>
        <w:t>试药与试剂</w:t>
      </w:r>
    </w:p>
    <w:p>
      <w:pPr>
        <w:pStyle w:val="171"/>
      </w:pPr>
      <w:r>
        <w:t>试药与试剂</w:t>
      </w:r>
      <w:r>
        <w:rPr>
          <w:rFonts w:hint="eastAsia"/>
          <w:b w:val="0"/>
          <w:bCs/>
          <w:sz w:val="24"/>
          <w:szCs w:val="24"/>
          <w:lang w:val="en-US" w:eastAsia="zh-CN"/>
        </w:rPr>
        <w:t>统一规范：</w:t>
      </w:r>
    </w:p>
    <w:p>
      <w:pPr>
        <w:pStyle w:val="171"/>
        <w:rPr>
          <w:rFonts w:hint="eastAsia" w:eastAsia="宋体"/>
          <w:lang w:val="en-US" w:eastAsia="zh-CN"/>
        </w:rPr>
      </w:pPr>
      <w:r>
        <w:t>细菌内毒素国家标准品或细菌内毒素工作标准品：除另有规定外，应使用中国食品药品检定研究院统一发放的标准品。</w:t>
      </w:r>
    </w:p>
    <w:p>
      <w:pPr>
        <w:pStyle w:val="171"/>
      </w:pPr>
      <w:r>
        <w:t>细菌内毒素检查用水：应符合灭菌注射用水标准，其内毒素含量小于 0.015EU/ml（用于凝胶法）或 0.005EU/ml（用于光度测定法）且对内毒素试验无干扰作用。</w:t>
      </w:r>
    </w:p>
    <w:p>
      <w:pPr>
        <w:pStyle w:val="171"/>
      </w:pPr>
      <w:r>
        <w:t>鲎试剂：包括凝胶法鲎试剂和光度法鲎试剂。凝胶法鲎试剂和光度法鲎试剂在首次使用前应分别通过鲎试剂灵敏度复核实验和标准曲线可靠性验证实验，符合规定方可使用。</w:t>
      </w:r>
    </w:p>
    <w:p>
      <w:pPr>
        <w:pStyle w:val="171"/>
      </w:pPr>
    </w:p>
    <w:p>
      <w:pPr>
        <w:pStyle w:val="167"/>
      </w:pPr>
      <w:r>
        <w:t xml:space="preserve">4 </w:t>
      </w:r>
      <w:r>
        <w:rPr>
          <w:rFonts w:hint="eastAsia"/>
          <w:lang w:val="en-US" w:eastAsia="zh-CN"/>
        </w:rPr>
        <w:t>.</w:t>
      </w:r>
      <w:r>
        <w:t>凝胶法操作方法</w:t>
      </w:r>
    </w:p>
    <w:p>
      <w:pPr>
        <w:pStyle w:val="168"/>
      </w:pPr>
      <w:r>
        <w:t>4.1 鲎试剂灵敏度复核</w:t>
      </w:r>
    </w:p>
    <w:p>
      <w:pPr>
        <w:pStyle w:val="171"/>
      </w:pPr>
      <w:r>
        <w:t>鲎试剂灵敏度复核</w:t>
      </w:r>
      <w:r>
        <w:rPr>
          <w:rFonts w:hint="eastAsia"/>
          <w:lang w:val="en-US" w:eastAsia="zh-CN"/>
        </w:rPr>
        <w:t>目的：</w:t>
      </w:r>
      <w:r>
        <w:t>鲎试剂灵敏度复核的目的不仅是考察鲎试剂的灵敏度是否准确，也是考查检验人员操作方法是否正确及试验条件是否符合规定。因此要求每个试验室在使用一批新的鲎试剂前必须进行灵敏度复核试验。</w:t>
      </w:r>
    </w:p>
    <w:p>
      <w:pPr>
        <w:pStyle w:val="169"/>
      </w:pPr>
      <w:r>
        <w:t>4.1.1 试验操作</w:t>
      </w:r>
    </w:p>
    <w:p>
      <w:pPr>
        <w:pStyle w:val="171"/>
        <w:rPr>
          <w:rFonts w:hint="eastAsia"/>
          <w:lang w:val="en-US" w:eastAsia="zh-CN"/>
        </w:rPr>
      </w:pPr>
      <w:r>
        <w:t>鲎试剂灵敏度复核</w:t>
      </w:r>
      <w:r>
        <w:rPr>
          <w:rFonts w:hint="eastAsia"/>
          <w:lang w:val="en-US" w:eastAsia="zh-CN"/>
        </w:rPr>
        <w:t>操作步骤如下</w:t>
      </w:r>
    </w:p>
    <w:p>
      <w:pPr>
        <w:pStyle w:val="171"/>
      </w:pPr>
      <w:r>
        <w:rPr>
          <w:rFonts w:hint="eastAsia"/>
          <w:lang w:val="en-US" w:eastAsia="zh-CN"/>
        </w:rPr>
        <w:t>1.</w:t>
      </w:r>
      <w:r>
        <w:t>细菌内毒素标准溶液的制备：取细菌内毒素国家标准品或工作标准品一支，按照标准品说明书加入规定量的细菌内毒素检查用水溶解其内容物，用封口膜将瓶口封严，置旋涡混合器上混合 15 分钟。然后进行稀释，制备成 4 个浓度的细菌内毒素标准溶液，即</w:t>
      </w:r>
      <w:r>
        <w:rPr>
          <w:rFonts w:hint="eastAsia"/>
          <w:lang w:val="en-US" w:eastAsia="zh-CN"/>
        </w:rPr>
        <w:t>2</w:t>
      </w:r>
      <w:r>
        <w:t>λ、λ、0.5λ、0.25λ0.25λ（λ 为所复核的鲎试剂的标示灵敏度），每稀释一步均应在旋涡混合器上混合 30 秒（详细过程请参见标准品使用说明书）。若使用的为细菌内毒素国家标准品，可按其使用说明书将其稀释至规定浓度后分装、保存。若为细菌内毒素工作标准品，为一次性使用。待复核鲎试剂的准备：取规格为 0.1ml/支的鲎试剂 18 支，每支加入 0.1ml 检查用水溶解，轻轻转动瓶壁，使内容物充分溶解，避免产生气泡。若待复核鲎试剂的规格不是 0.1ml/支时，取若干支按其标示量加入检查用水复溶，充分溶解后将鲎试剂溶液混和在一起，然后每 0.1ml 分装到 10mm x 75mm 凝集管中，要求至少分装 18 管备用。</w:t>
      </w:r>
    </w:p>
    <w:p>
      <w:pPr>
        <w:pStyle w:val="171"/>
      </w:pPr>
    </w:p>
    <w:p>
      <w:pPr>
        <w:pStyle w:val="171"/>
        <w:ind w:left="0" w:leftChars="0" w:firstLine="0" w:firstLineChars="0"/>
      </w:pPr>
      <w:r>
        <w:rPr>
          <w:rFonts w:hint="eastAsia"/>
          <w:lang w:val="en-US" w:eastAsia="zh-CN"/>
        </w:rPr>
        <w:t>2.</w:t>
      </w:r>
      <w:r>
        <w:t xml:space="preserve">加样： </w:t>
      </w:r>
      <w:r>
        <w:rPr>
          <w:rFonts w:hint="eastAsia"/>
          <w:lang w:val="en-US" w:eastAsia="zh-CN"/>
        </w:rPr>
        <w:t>2</w:t>
      </w:r>
      <w:r>
        <w:t>λ、λ</w:t>
      </w:r>
      <w:r>
        <w:rPr>
          <w:rFonts w:hint="eastAsia" w:ascii="宋体" w:hAnsi="宋体" w:eastAsia="宋体" w:cs="宋体"/>
          <w:b w:val="0"/>
          <w:kern w:val="2"/>
          <w:sz w:val="21"/>
          <w:szCs w:val="21"/>
          <w:lang w:val="en-US" w:eastAsia="zh-CN" w:bidi="ar"/>
        </w:rPr>
        <w:t>、</w:t>
      </w:r>
      <w:r>
        <w:rPr>
          <w:rFonts w:hint="eastAsia" w:ascii="宋体" w:hAnsi="宋体" w:cs="宋体"/>
          <w:b w:val="0"/>
          <w:kern w:val="2"/>
          <w:sz w:val="21"/>
          <w:szCs w:val="21"/>
          <w:lang w:val="en-US" w:eastAsia="zh-CN" w:bidi="ar"/>
        </w:rPr>
        <w:t>0</w:t>
      </w:r>
      <w:r>
        <w:t>.5λ、0.25λ</w:t>
      </w:r>
      <w:r>
        <w:rPr>
          <w:rFonts w:hint="eastAsia" w:ascii="宋体" w:hAnsi="宋体" w:eastAsia="宋体" w:cs="宋体"/>
          <w:b w:val="0"/>
          <w:kern w:val="2"/>
          <w:sz w:val="21"/>
          <w:szCs w:val="21"/>
          <w:lang w:val="en-US" w:eastAsia="zh-CN" w:bidi="ar"/>
        </w:rPr>
        <w:t>、</w:t>
      </w:r>
      <w:r>
        <w:t>的内毒素标准溶液每一浓度加 4 支管，加样体积为 0.1ml；另取 2 支（管）加入检查用水作为阴性对照。加样体积均为 0.1ml。</w:t>
      </w:r>
    </w:p>
    <w:p>
      <w:pPr>
        <w:pStyle w:val="171"/>
        <w:ind w:left="0" w:leftChars="0" w:firstLine="0" w:firstLineChars="0"/>
      </w:pPr>
      <w:r>
        <w:rPr>
          <w:rFonts w:hint="eastAsia"/>
          <w:lang w:val="en-US" w:eastAsia="zh-CN"/>
        </w:rPr>
        <w:t>3.</w:t>
      </w:r>
      <w:r>
        <w:t>保温：加样结束后，将鲎试剂用封口膜封口，轻轻振动混匀，避免产生气泡，放入 37℃±1℃ 水浴或适宜恒温器中，保持水平状态，保温 60 分钟±2 分钟。</w:t>
      </w:r>
    </w:p>
    <w:p>
      <w:pPr>
        <w:pStyle w:val="171"/>
        <w:ind w:left="0" w:leftChars="0" w:firstLine="0" w:firstLineChars="0"/>
      </w:pPr>
      <w:r>
        <w:rPr>
          <w:rFonts w:hint="eastAsia"/>
          <w:lang w:val="en-US" w:eastAsia="zh-CN"/>
        </w:rPr>
        <w:t>4.</w:t>
      </w:r>
      <w:r>
        <w:t>观察并记录结果：将每管拿出缓缓倒转 180° 观察，若管内形成凝胶，并且凝胶不变形，不从管壁滑脱者为阳性，记录为（+）；未形成凝胶或形成的凝胶不坚实、变形并从管壁滑脱者为阴性，记录为（-）。保温和拿取试管过程应避免受到振动造成假阴性结果。</w:t>
      </w:r>
    </w:p>
    <w:p>
      <w:pPr>
        <w:pStyle w:val="171"/>
      </w:pPr>
    </w:p>
    <w:p>
      <w:pPr>
        <w:pStyle w:val="169"/>
      </w:pPr>
      <w:r>
        <w:t>4.1.2 试验结果计算</w:t>
      </w:r>
    </w:p>
    <w:p>
      <w:pPr>
        <w:pStyle w:val="168"/>
        <w:rPr>
          <w:rFonts w:hint="default" w:eastAsia="宋体"/>
          <w:b w:val="0"/>
          <w:bCs/>
          <w:sz w:val="24"/>
          <w:szCs w:val="24"/>
          <w:lang w:val="en-US" w:eastAsia="zh-CN"/>
        </w:rPr>
      </w:pPr>
      <w:r>
        <w:rPr>
          <w:b w:val="0"/>
          <w:bCs/>
          <w:sz w:val="24"/>
          <w:szCs w:val="24"/>
        </w:rPr>
        <w:t>鲎试剂灵敏度复核</w:t>
      </w:r>
      <w:r>
        <w:rPr>
          <w:rFonts w:hint="eastAsia"/>
          <w:b w:val="0"/>
          <w:bCs/>
          <w:sz w:val="24"/>
          <w:szCs w:val="24"/>
          <w:lang w:val="en-US" w:eastAsia="zh-CN"/>
        </w:rPr>
        <w:t>的结果计算：</w:t>
      </w:r>
    </w:p>
    <w:p>
      <w:pPr>
        <w:pStyle w:val="171"/>
        <w:ind w:left="0" w:leftChars="0" w:firstLine="0" w:firstLineChars="0"/>
      </w:pPr>
      <w:r>
        <w:t>当最大浓度2λ 的 4 管均为阳性，最低浓度0.25λ 的 4 管均为阴性，阴性对照为阳性时（注：此处原文“阴性对照为阳性”疑为笔误，通常应为阴性对照为阴性）试验为有效。按下式计算反应终点浓度的几何平均值即为鲎试剂灵敏度的复核结果 (λ</w:t>
      </w:r>
      <w:r>
        <w:rPr>
          <w:rFonts w:hint="eastAsia"/>
          <w:lang w:val="en-US" w:eastAsia="zh-CN"/>
        </w:rPr>
        <w:t>c</w:t>
      </w:r>
      <w:r>
        <w:t>)：</w:t>
      </w:r>
    </w:p>
    <w:p>
      <w:pPr>
        <w:pStyle w:val="172"/>
      </w:pPr>
      <w:r>
        <w:rPr>
          <w:rFonts w:ascii="Times New Roman" w:hAnsi="Times New Roman" w:eastAsia="宋体" w:cstheme="minorBidi"/>
          <w:b w:val="0"/>
          <w:kern w:val="2"/>
          <w:sz w:val="21"/>
          <w:szCs w:val="21"/>
          <w:lang w:val="en-US" w:eastAsia="zh-CN" w:bidi="ar"/>
        </w:rPr>
        <w:t>λ</w:t>
      </w:r>
      <w:r>
        <w:rPr>
          <w:rFonts w:hint="eastAsia" w:cstheme="minorBidi"/>
          <w:b w:val="0"/>
          <w:kern w:val="2"/>
          <w:sz w:val="21"/>
          <w:szCs w:val="21"/>
          <w:lang w:val="en-US" w:eastAsia="zh-CN" w:bidi="ar"/>
        </w:rPr>
        <w:t>c</w:t>
      </w:r>
      <w:r>
        <w:t>=antilg(∑X/4)</w:t>
      </w:r>
    </w:p>
    <w:p>
      <w:pPr>
        <w:pStyle w:val="171"/>
      </w:pPr>
      <w:r>
        <w:t>式中：</w:t>
      </w:r>
    </w:p>
    <w:p>
      <w:pPr>
        <w:pStyle w:val="171"/>
        <w:rPr>
          <w:rFonts w:hint="default" w:eastAsia="宋体"/>
          <w:lang w:val="en-US" w:eastAsia="zh-CN"/>
        </w:rPr>
      </w:pPr>
      <w:r>
        <w:t>X 为反应终点浓度的对数值 (lg)。反应终点浓度是指系列递减的内毒素标准溶液中最后一个呈阳性结果的浓度；</w:t>
      </w:r>
      <w:r>
        <w:rPr>
          <w:rFonts w:hint="eastAsia"/>
          <w:lang w:val="en-US" w:eastAsia="zh-CN"/>
        </w:rPr>
        <w:t>4为每个浓度的平行管数量</w:t>
      </w:r>
    </w:p>
    <w:p>
      <w:pPr>
        <w:pStyle w:val="171"/>
      </w:pPr>
    </w:p>
    <w:p>
      <w:pPr>
        <w:pStyle w:val="171"/>
      </w:pPr>
    </w:p>
    <w:p>
      <w:pPr>
        <w:pStyle w:val="171"/>
      </w:pPr>
    </w:p>
    <w:p>
      <w:pPr>
        <w:pStyle w:val="171"/>
        <w:ind w:left="0" w:leftChars="0" w:firstLine="0" w:firstLineChars="0"/>
      </w:pPr>
    </w:p>
    <w:p>
      <w:pPr>
        <w:pStyle w:val="171"/>
        <w:ind w:left="0" w:leftChars="0" w:firstLine="0" w:firstLineChars="0"/>
      </w:pPr>
    </w:p>
    <w:p>
      <w:pPr>
        <w:pStyle w:val="171"/>
        <w:ind w:left="0" w:leftChars="0" w:firstLine="0" w:firstLineChars="0"/>
      </w:pPr>
    </w:p>
    <w:p>
      <w:pPr>
        <w:pStyle w:val="169"/>
      </w:pPr>
      <w:r>
        <w:t>4.1.3 结果判断</w:t>
      </w:r>
    </w:p>
    <w:p>
      <w:pPr>
        <w:pStyle w:val="168"/>
      </w:pPr>
      <w:r>
        <w:rPr>
          <w:b w:val="0"/>
          <w:bCs/>
          <w:sz w:val="24"/>
          <w:szCs w:val="24"/>
        </w:rPr>
        <w:t>鲎试剂灵敏度复核</w:t>
      </w:r>
      <w:r>
        <w:rPr>
          <w:rFonts w:hint="eastAsia"/>
          <w:b w:val="0"/>
          <w:bCs/>
          <w:sz w:val="24"/>
          <w:szCs w:val="24"/>
          <w:lang w:val="en-US" w:eastAsia="zh-CN"/>
        </w:rPr>
        <w:t>的结果判断：</w:t>
      </w:r>
    </w:p>
    <w:p>
      <w:pPr>
        <w:pStyle w:val="171"/>
        <w:ind w:left="0" w:leftChars="0" w:firstLine="0" w:firstLineChars="0"/>
      </w:pPr>
      <w:r>
        <w:t>当λc在0.5</w:t>
      </w:r>
      <w:r>
        <w:rPr>
          <w:rFonts w:ascii="Times New Roman" w:hAnsi="Times New Roman" w:eastAsia="宋体" w:cstheme="minorBidi"/>
          <w:b w:val="0"/>
          <w:kern w:val="2"/>
          <w:sz w:val="21"/>
          <w:szCs w:val="21"/>
          <w:lang w:val="en-US" w:eastAsia="zh-CN" w:bidi="ar"/>
        </w:rPr>
        <w:t>λ</w:t>
      </w:r>
      <w:r>
        <w:t>∼2</w:t>
      </w:r>
      <w:r>
        <w:rPr>
          <w:rFonts w:ascii="Times New Roman" w:hAnsi="Times New Roman" w:eastAsia="宋体" w:cstheme="minorBidi"/>
          <w:b w:val="0"/>
          <w:kern w:val="2"/>
          <w:sz w:val="21"/>
          <w:szCs w:val="21"/>
          <w:lang w:val="en-US" w:eastAsia="zh-CN" w:bidi="ar"/>
        </w:rPr>
        <w:t>λ</w:t>
      </w:r>
      <w:r>
        <w:t>（包括0.5</w:t>
      </w:r>
      <w:r>
        <w:rPr>
          <w:rFonts w:ascii="Times New Roman" w:hAnsi="Times New Roman" w:eastAsia="宋体" w:cstheme="minorBidi"/>
          <w:b w:val="0"/>
          <w:kern w:val="2"/>
          <w:sz w:val="21"/>
          <w:szCs w:val="21"/>
          <w:lang w:val="en-US" w:eastAsia="zh-CN" w:bidi="ar"/>
        </w:rPr>
        <w:t>λ</w:t>
      </w:r>
      <w:r>
        <w:t>∼2</w:t>
      </w:r>
      <w:r>
        <w:rPr>
          <w:rFonts w:ascii="Times New Roman" w:hAnsi="Times New Roman" w:eastAsia="宋体" w:cstheme="minorBidi"/>
          <w:b w:val="0"/>
          <w:kern w:val="2"/>
          <w:sz w:val="21"/>
          <w:szCs w:val="21"/>
          <w:lang w:val="en-US" w:eastAsia="zh-CN" w:bidi="ar"/>
        </w:rPr>
        <w:t>λ</w:t>
      </w:r>
      <w:r>
        <w:t>）时判定该批鲎试剂灵敏度复核合格，可用于干扰试验和供试品细菌内毒素检查，并以λ（标示灵敏度）为该批鲎试剂的灵敏度。</w:t>
      </w:r>
    </w:p>
    <w:p>
      <w:pPr>
        <w:pStyle w:val="171"/>
        <w:ind w:left="0" w:leftChars="0" w:firstLine="0" w:firstLineChars="0"/>
      </w:pPr>
    </w:p>
    <w:p>
      <w:pPr>
        <w:pStyle w:val="169"/>
        <w:rPr>
          <w:rFonts w:hint="eastAsia"/>
          <w:lang w:val="en-US" w:eastAsia="zh-CN"/>
        </w:rPr>
      </w:pPr>
      <w:r>
        <w:t>4.1.4 举例</w:t>
      </w:r>
      <w:r>
        <w:rPr>
          <w:rFonts w:hint="eastAsia"/>
          <w:lang w:val="en-US" w:eastAsia="zh-CN"/>
        </w:rPr>
        <w:t>说明</w:t>
      </w:r>
    </w:p>
    <w:p>
      <w:pPr>
        <w:pStyle w:val="169"/>
        <w:rPr>
          <w:rFonts w:hint="eastAsia"/>
          <w:b w:val="0"/>
          <w:bCs/>
          <w:sz w:val="24"/>
          <w:szCs w:val="24"/>
          <w:lang w:val="en-US" w:eastAsia="zh-CN"/>
        </w:rPr>
      </w:pPr>
      <w:r>
        <w:rPr>
          <w:b w:val="0"/>
          <w:bCs/>
          <w:sz w:val="24"/>
          <w:szCs w:val="24"/>
        </w:rPr>
        <w:t>鲎试剂灵敏度复核</w:t>
      </w:r>
      <w:r>
        <w:rPr>
          <w:rFonts w:hint="eastAsia"/>
          <w:b w:val="0"/>
          <w:bCs/>
          <w:sz w:val="24"/>
          <w:szCs w:val="24"/>
          <w:lang w:val="en-US" w:eastAsia="zh-CN"/>
        </w:rPr>
        <w:t>的结果举例说明：</w:t>
      </w:r>
    </w:p>
    <w:p>
      <w:pPr>
        <w:pStyle w:val="169"/>
        <w:rPr>
          <w:rFonts w:hint="default"/>
          <w:b w:val="0"/>
          <w:bCs/>
          <w:sz w:val="24"/>
          <w:szCs w:val="24"/>
          <w:lang w:val="en-US" w:eastAsia="zh-CN"/>
        </w:rPr>
      </w:pPr>
    </w:p>
    <w:p>
      <w:pPr>
        <w:pStyle w:val="171"/>
        <w:ind w:left="0" w:leftChars="0" w:firstLine="0" w:firstLineChars="0"/>
        <w:rPr>
          <w:rFonts w:hint="eastAsia"/>
          <w:lang w:val="en-US" w:eastAsia="zh-CN"/>
        </w:rPr>
      </w:pPr>
      <w:r>
        <w:t>如待复核鲎试剂标示灵敏度为 0.125 EU/ml。试验结果</w:t>
      </w:r>
      <w:r>
        <w:rPr>
          <w:rFonts w:hint="eastAsia"/>
          <w:lang w:val="en-US" w:eastAsia="zh-CN"/>
        </w:rPr>
        <w:t>如下：</w:t>
      </w:r>
    </w:p>
    <w:p>
      <w:pPr>
        <w:pStyle w:val="30"/>
        <w:keepNext w:val="0"/>
        <w:keepLines w:val="0"/>
        <w:widowControl/>
        <w:suppressLineNumbers w:val="0"/>
      </w:pPr>
      <w:r>
        <w:t>第1管在0.25 EU/ml和0.125 EU/ml时为阳性，在0.0625 EU/ml和0.031 EU/ml时为阴性，阴性对照为阴性，其反应终点浓度为0.125 EU/ml。</w:t>
      </w:r>
    </w:p>
    <w:p>
      <w:pPr>
        <w:pStyle w:val="30"/>
        <w:keepNext w:val="0"/>
        <w:keepLines w:val="0"/>
        <w:widowControl/>
        <w:suppressLineNumbers w:val="0"/>
      </w:pPr>
      <w:r>
        <w:t>第2管在0.25 EU/ml时为阳性，在0.125 EU/ml、0.0625 EU/ml和0.031 EU/ml时为阴性，阴性对照为阴性，其反应终点浓度为0.25 EU/ml。</w:t>
      </w:r>
    </w:p>
    <w:p>
      <w:pPr>
        <w:pStyle w:val="30"/>
        <w:keepNext w:val="0"/>
        <w:keepLines w:val="0"/>
        <w:widowControl/>
        <w:suppressLineNumbers w:val="0"/>
      </w:pPr>
      <w:r>
        <w:t>第3管在0.25 EU/ml、0.125 EU/ml和0.0625 EU/ml时为阳性，在0.031 EU/ml时为阴性，阴性对照为阴性，其反应终点浓度为0.0625 EU/ml。</w:t>
      </w:r>
    </w:p>
    <w:p>
      <w:pPr>
        <w:pStyle w:val="30"/>
        <w:keepNext w:val="0"/>
        <w:keepLines w:val="0"/>
        <w:widowControl/>
        <w:suppressLineNumbers w:val="0"/>
      </w:pPr>
      <w:r>
        <w:t>第4管在0.25 EU/ml、0.125 EU/ml和0.0625 EU/ml时为阳性，在0.031 EU/ml时为阴性，阴性对照为阴性，其反应终点浓度为0.0625 EU/ml。</w:t>
      </w:r>
    </w:p>
    <w:p>
      <w:pPr>
        <w:pStyle w:val="171"/>
        <w:ind w:left="0" w:leftChars="0" w:firstLine="0" w:firstLineChars="0"/>
        <w:rPr>
          <w:rFonts w:hint="default" w:eastAsia="宋体"/>
          <w:lang w:val="en-US" w:eastAsia="zh-CN"/>
        </w:rPr>
      </w:pPr>
      <w:r>
        <w:rPr>
          <w:rFonts w:hint="eastAsia"/>
          <w:lang w:val="en-US" w:eastAsia="zh-CN"/>
        </w:rPr>
        <w:t>使用公式计算如下：</w:t>
      </w:r>
    </w:p>
    <w:p>
      <w:pPr>
        <w:pStyle w:val="172"/>
        <w:jc w:val="both"/>
      </w:pPr>
      <w:r>
        <w:rPr>
          <w:rFonts w:ascii="Times New Roman" w:hAnsi="Times New Roman" w:eastAsia="宋体" w:cstheme="minorBidi"/>
          <w:b w:val="0"/>
          <w:kern w:val="2"/>
          <w:sz w:val="21"/>
          <w:szCs w:val="21"/>
          <w:lang w:val="en-US" w:eastAsia="zh-CN" w:bidi="ar"/>
        </w:rPr>
        <w:t>λ</w:t>
      </w:r>
      <w:r>
        <w:rPr>
          <w:rFonts w:hint="eastAsia" w:cstheme="minorBidi"/>
          <w:b w:val="0"/>
          <w:kern w:val="2"/>
          <w:sz w:val="21"/>
          <w:szCs w:val="21"/>
          <w:lang w:val="en-US" w:eastAsia="zh-CN" w:bidi="ar"/>
        </w:rPr>
        <w:t>c</w:t>
      </w:r>
      <w:r>
        <w:t>=antilg(∑X/4)=antilg[(lg0.125+lg0.25+lg0.0625+lg0.0625)/4]=0.105(EU/ml)</w:t>
      </w:r>
    </w:p>
    <w:p>
      <w:pPr>
        <w:pStyle w:val="171"/>
        <w:ind w:left="0" w:leftChars="0" w:firstLine="0" w:firstLineChars="0"/>
      </w:pPr>
    </w:p>
    <w:p>
      <w:pPr>
        <w:pStyle w:val="171"/>
        <w:ind w:left="0" w:leftChars="0" w:firstLine="0" w:firstLineChars="0"/>
      </w:pPr>
      <w:r>
        <w:t>在0.5λ∼2λ 范围内，符合规定。以标示灵敏度 0.125 EU/ml 为该批鲎试剂的灵敏度。</w:t>
      </w:r>
    </w:p>
    <w:p>
      <w:pPr>
        <w:pStyle w:val="171"/>
        <w:ind w:left="0" w:leftChars="0" w:firstLine="0" w:firstLineChars="0"/>
      </w:pPr>
    </w:p>
    <w:p>
      <w:pPr>
        <w:pStyle w:val="171"/>
        <w:ind w:left="0" w:leftChars="0" w:firstLine="0" w:firstLineChars="0"/>
      </w:pPr>
    </w:p>
    <w:p>
      <w:pPr>
        <w:pStyle w:val="171"/>
        <w:ind w:left="0" w:leftChars="0" w:firstLine="0" w:firstLineChars="0"/>
      </w:pPr>
    </w:p>
    <w:p>
      <w:pPr>
        <w:pStyle w:val="168"/>
      </w:pPr>
      <w:r>
        <w:t>4.2 干扰试验</w:t>
      </w:r>
    </w:p>
    <w:p>
      <w:pPr>
        <w:pStyle w:val="171"/>
      </w:pPr>
      <w:r>
        <w:t>干扰试验的目的：确定供试品在多大的稀释倍数或浓度下对内毒素和鲎试剂的反应不存在干扰作用，为能否使用细菌内毒素检查法提供依据。并且验证当供试品的配方和工艺有变化，鲎试剂来源改变或供试品阳性对照结果呈阴性时供试品是否存在干扰作用。</w:t>
      </w:r>
      <w:r>
        <w:rPr>
          <w:rFonts w:hint="eastAsia"/>
          <w:lang w:val="en-US" w:eastAsia="zh-CN"/>
        </w:rPr>
        <w:t xml:space="preserve"> </w:t>
      </w:r>
      <w:r>
        <w:t>建议使用较低灵敏度（如 0.5 EU/ml 或 0.25 EU/ml）的鲎试剂进行干扰试验的预试验，可尽量避免供试品所含的内毒素对干扰试验造成的阳性影响。正式干扰试验时，应尽量选择不干扰稀释倍数或浓度对应灵敏度的鲎试剂进行试验。</w:t>
      </w:r>
    </w:p>
    <w:p>
      <w:pPr>
        <w:pStyle w:val="171"/>
      </w:pPr>
    </w:p>
    <w:p>
      <w:pPr>
        <w:pStyle w:val="171"/>
        <w:ind w:left="0" w:leftChars="0" w:firstLine="0" w:firstLineChars="0"/>
      </w:pPr>
    </w:p>
    <w:p>
      <w:pPr>
        <w:pStyle w:val="169"/>
      </w:pPr>
      <w:r>
        <w:t>4.2.1 干扰试验预试验</w:t>
      </w:r>
    </w:p>
    <w:p>
      <w:pPr>
        <w:pStyle w:val="171"/>
      </w:pPr>
    </w:p>
    <w:p>
      <w:pPr>
        <w:pStyle w:val="171"/>
        <w:ind w:left="0" w:leftChars="0" w:firstLine="0" w:firstLineChars="0"/>
      </w:pPr>
      <w:r>
        <w:t>干扰</w:t>
      </w:r>
      <w:r>
        <w:rPr>
          <w:rFonts w:hint="eastAsia"/>
          <w:lang w:val="en-US" w:eastAsia="zh-CN"/>
        </w:rPr>
        <w:t>预实验目的：</w:t>
      </w:r>
      <w:r>
        <w:t>预试验的目的是初步确定供试品的最大不干扰浓度（当限值以 EU/mg 或 EU/U 活性单位表示）或最小不干扰稀释倍数（当限值以 EU/ml 表示），为正式干扰试验提供依据。</w:t>
      </w:r>
    </w:p>
    <w:p>
      <w:pPr>
        <w:pStyle w:val="171"/>
      </w:pPr>
    </w:p>
    <w:p>
      <w:pPr>
        <w:keepNext w:val="0"/>
        <w:keepLines w:val="0"/>
        <w:widowControl/>
        <w:suppressLineNumbers w:val="0"/>
        <w:spacing w:before="0" w:beforeAutospacing="0" w:after="0" w:afterAutospacing="0"/>
        <w:ind w:left="0" w:right="0"/>
        <w:jc w:val="both"/>
      </w:pPr>
      <w:r>
        <w:rPr>
          <w:rFonts w:hint="eastAsia"/>
          <w:lang w:val="en-US" w:eastAsia="zh-CN"/>
        </w:rPr>
        <w:t>预实验做法：做法</w:t>
      </w:r>
      <w:r>
        <w:t>将无检测到内毒素的供试品进行一系列倍数的稀释，但最大的稀释倍数一般不得超过 MVD</w:t>
      </w:r>
      <w:r>
        <w:rPr>
          <w:rFonts w:hint="eastAsia"/>
          <w:lang w:val="en-US" w:eastAsia="zh-CN"/>
        </w:rPr>
        <w:t>=CL/</w:t>
      </w:r>
      <w:r>
        <w:t>λ</w:t>
      </w:r>
      <w:r>
        <w:rPr>
          <w:rFonts w:hint="eastAsia" w:cstheme="minorBidi"/>
          <w:b w:val="0"/>
          <w:kern w:val="2"/>
          <w:sz w:val="21"/>
          <w:szCs w:val="21"/>
          <w:lang w:val="en-US" w:eastAsia="zh-CN" w:bidi="ar"/>
        </w:rPr>
        <w:t xml:space="preserve">0.3 </w:t>
      </w:r>
      <w:r>
        <w:t>。使用鲎试剂对每一稀释倍数进行检验。每一稀释倍数下做 2 支供试品管和 2 支供试品阳性对照（即用该浓度的供试品稀释液将内毒素标准品制成2λ 浓度）。另取 2 支加入细菌内毒素检查用水作为阴性对照，2 支加入2λ 浓度的内毒素标准溶液作为阳性对照。保温 60 分钟±2 分钟后，观察并记录结果。</w:t>
      </w:r>
    </w:p>
    <w:p>
      <w:pPr>
        <w:pStyle w:val="171"/>
      </w:pPr>
      <w:r>
        <w:rPr>
          <w:rFonts w:hint="eastAsia"/>
          <w:lang w:val="en-US" w:eastAsia="zh-CN"/>
        </w:rPr>
        <w:t>预实验</w:t>
      </w:r>
      <w:r>
        <w:t>结果判断：</w:t>
      </w:r>
    </w:p>
    <w:p>
      <w:pPr>
        <w:pStyle w:val="171"/>
      </w:pPr>
      <w:r>
        <w:rPr>
          <w:rFonts w:hint="eastAsia"/>
          <w:lang w:val="en-US" w:eastAsia="zh-CN"/>
        </w:rPr>
        <w:t>1.</w:t>
      </w:r>
      <w:r>
        <w:t>当阴性对照为阴性，阳性对照为阳性时，试验为有效。</w:t>
      </w:r>
    </w:p>
    <w:p>
      <w:pPr>
        <w:pStyle w:val="171"/>
      </w:pPr>
      <w:r>
        <w:rPr>
          <w:rFonts w:hint="eastAsia"/>
          <w:lang w:val="en-US" w:eastAsia="zh-CN"/>
        </w:rPr>
        <w:t>2.</w:t>
      </w:r>
      <w:r>
        <w:t>当系列浓度中出现供试品溶液 2 管为阴性，供试品阳性对照 2 管为阳性时，认为供试品在该浓度下不干扰试验，此稀释倍数即为最小不干扰稀释倍数。即可选该稀释倍数进行正式干扰试验。</w:t>
      </w:r>
    </w:p>
    <w:p>
      <w:pPr>
        <w:pStyle w:val="171"/>
      </w:pPr>
    </w:p>
    <w:p>
      <w:pPr>
        <w:pStyle w:val="171"/>
      </w:pPr>
      <w:r>
        <w:t>当系列浓度中所有浓度的供试品管都不为阴性，或供试品阳性对照管不为阳性时，说明供试品对内毒素与鲎试剂的反应存在干扰，则应对供试品进行更大倍数稀释（不得超过 MVD），或通过其他适宜的方法（如过滤、中和、透析或加热处理等）排除干扰。为确保所选择的处理方法能有效地排除干扰且不会使内毒素失去活性，要使用预先添加了标准内毒素再经过处理的供试品溶液作为供试品阳性对照进行干扰试验。当供试品的内毒素限值单位为 EU/mg 或 EU/U 时，应将最小不干扰稀释倍数换算成最大不干扰浓度（即该稀释倍数下溶液的浓度），以 mg/ml 或 U/ml 表示。</w:t>
      </w:r>
    </w:p>
    <w:p>
      <w:pPr>
        <w:pStyle w:val="171"/>
      </w:pPr>
    </w:p>
    <w:p>
      <w:pPr>
        <w:pStyle w:val="171"/>
      </w:pPr>
    </w:p>
    <w:p>
      <w:pPr>
        <w:pStyle w:val="171"/>
        <w:ind w:left="0" w:leftChars="0" w:firstLine="0" w:firstLineChars="0"/>
      </w:pPr>
    </w:p>
    <w:p>
      <w:pPr>
        <w:pStyle w:val="170"/>
      </w:pPr>
      <w:r>
        <w:t>4.2.</w:t>
      </w:r>
      <w:r>
        <w:rPr>
          <w:rFonts w:hint="eastAsia"/>
          <w:lang w:val="en-US" w:eastAsia="zh-CN"/>
        </w:rPr>
        <w:t>2</w:t>
      </w:r>
      <w:r>
        <w:t>预试验举例</w:t>
      </w:r>
    </w:p>
    <w:p>
      <w:pPr>
        <w:pStyle w:val="170"/>
      </w:pPr>
    </w:p>
    <w:p>
      <w:pPr>
        <w:pStyle w:val="171"/>
        <w:rPr>
          <w:rFonts w:hint="eastAsia"/>
          <w:lang w:val="en-US" w:eastAsia="zh-CN"/>
        </w:rPr>
      </w:pPr>
      <w:r>
        <w:t>设某注射液限值为 2.5 EU/ml，按 MVD 计算出灵敏度为 0.03 EU/ml 下的 MVD 为 83 倍，将供试品溶液稀释一系列进行检验，用灵敏度为 0.25 EU/ml 的鲎试剂进行预试验。结果如</w:t>
      </w:r>
      <w:r>
        <w:rPr>
          <w:rFonts w:hint="eastAsia"/>
          <w:lang w:val="en-US" w:eastAsia="zh-CN"/>
        </w:rPr>
        <w:t>下：</w:t>
      </w:r>
    </w:p>
    <w:p>
      <w:pPr>
        <w:pStyle w:val="30"/>
        <w:keepNext w:val="0"/>
        <w:keepLines w:val="0"/>
        <w:widowControl/>
        <w:suppressLineNumbers w:val="0"/>
        <w:rPr>
          <w:rFonts w:hint="eastAsia"/>
          <w:lang w:val="en-US" w:eastAsia="zh-CN"/>
        </w:rPr>
      </w:pPr>
      <w:r>
        <w:t>在干扰试验预试验中，供试品溶液在原液、5倍、10倍、20倍、40倍及80倍稀释条件下结果均为阴性。供试品阳性对照在原液、5倍及10倍稀释条件下结果为阴性，在20倍、40倍及80倍稀释条件下结果为阳性。根据上述结果，可初步确定供试品在20倍稀释条件下不再对内毒素与鲎试剂反应产生干扰，因此20倍为最小不干扰稀释倍数。</w:t>
      </w:r>
    </w:p>
    <w:p>
      <w:pPr>
        <w:pStyle w:val="171"/>
      </w:pPr>
      <w:r>
        <w:t>如上结果可初步确定该样品的最小不干扰稀释倍数为 20 倍，可在此浓度下进行正式干扰试验。</w:t>
      </w:r>
    </w:p>
    <w:p>
      <w:pPr>
        <w:pStyle w:val="171"/>
      </w:pPr>
    </w:p>
    <w:p>
      <w:pPr>
        <w:pStyle w:val="169"/>
      </w:pPr>
      <w:r>
        <w:t>4.2.</w:t>
      </w:r>
      <w:r>
        <w:rPr>
          <w:rFonts w:hint="eastAsia"/>
          <w:lang w:val="en-US" w:eastAsia="zh-CN"/>
        </w:rPr>
        <w:t>3</w:t>
      </w:r>
      <w:r>
        <w:t xml:space="preserve"> 干扰试验</w:t>
      </w:r>
    </w:p>
    <w:p>
      <w:pPr>
        <w:pStyle w:val="169"/>
      </w:pPr>
    </w:p>
    <w:p>
      <w:pPr>
        <w:pStyle w:val="171"/>
      </w:pPr>
      <w:r>
        <w:t>目的是检验在某一浓度下的供试品对于鲎试剂与内毒素的反应有无干扰作用。</w:t>
      </w:r>
    </w:p>
    <w:p>
      <w:pPr>
        <w:pStyle w:val="171"/>
      </w:pPr>
      <w:r>
        <w:t>制备内毒素标准对照溶液：取 1 支细菌内毒素标准品，用细菌内毒素检查用水稀释成 4 个浓度的标准溶液即</w:t>
      </w:r>
      <w:r>
        <w:rPr>
          <w:rFonts w:hint="eastAsia" w:ascii="宋体" w:hAnsi="宋体" w:eastAsia="宋体" w:cs="宋体"/>
          <w:b w:val="0"/>
          <w:kern w:val="2"/>
          <w:sz w:val="21"/>
          <w:szCs w:val="21"/>
          <w:lang w:val="en-US" w:eastAsia="zh-CN" w:bidi="ar"/>
        </w:rPr>
        <w:t>2</w:t>
      </w:r>
      <w:r>
        <w:rPr>
          <w:rFonts w:ascii="Times New Roman" w:hAnsi="Times New Roman" w:eastAsia="宋体" w:cstheme="minorBidi"/>
          <w:b w:val="0"/>
          <w:kern w:val="2"/>
          <w:sz w:val="21"/>
          <w:szCs w:val="21"/>
          <w:lang w:val="en-US" w:eastAsia="zh-CN" w:bidi="ar"/>
        </w:rPr>
        <w:t>λ</w:t>
      </w:r>
      <w:r>
        <w:rPr>
          <w:rFonts w:hint="eastAsia" w:ascii="宋体" w:hAnsi="宋体" w:eastAsia="宋体" w:cs="宋体"/>
          <w:b w:val="0"/>
          <w:kern w:val="2"/>
          <w:sz w:val="21"/>
          <w:szCs w:val="21"/>
          <w:lang w:val="en-US" w:eastAsia="zh-CN" w:bidi="ar"/>
        </w:rPr>
        <w:t>、</w:t>
      </w:r>
      <w:r>
        <w:rPr>
          <w:rFonts w:hint="default" w:ascii="Times New Roman" w:hAnsi="Times New Roman" w:eastAsia="宋体" w:cs="Times New Roman"/>
          <w:b w:val="0"/>
          <w:kern w:val="2"/>
          <w:sz w:val="21"/>
          <w:szCs w:val="21"/>
          <w:lang w:val="en-US" w:eastAsia="zh-CN" w:bidi="ar"/>
        </w:rPr>
        <w:t>λ</w:t>
      </w:r>
      <w:r>
        <w:rPr>
          <w:rFonts w:hint="eastAsia" w:ascii="宋体" w:hAnsi="宋体" w:eastAsia="宋体" w:cs="宋体"/>
          <w:b w:val="0"/>
          <w:kern w:val="2"/>
          <w:sz w:val="21"/>
          <w:szCs w:val="21"/>
          <w:lang w:val="en-US" w:eastAsia="zh-CN" w:bidi="ar"/>
        </w:rPr>
        <w:t>、</w:t>
      </w:r>
      <w:r>
        <w:rPr>
          <w:rFonts w:hint="default" w:ascii="Times New Roman" w:hAnsi="Times New Roman" w:eastAsia="宋体" w:cs="Times New Roman"/>
          <w:b w:val="0"/>
          <w:kern w:val="2"/>
          <w:sz w:val="21"/>
          <w:szCs w:val="21"/>
          <w:lang w:val="en-US" w:eastAsia="zh-CN" w:bidi="ar"/>
        </w:rPr>
        <w:t>λ0.5λ</w:t>
      </w:r>
      <w:r>
        <w:rPr>
          <w:rFonts w:hint="eastAsia" w:ascii="宋体" w:hAnsi="宋体" w:eastAsia="宋体" w:cs="宋体"/>
          <w:b w:val="0"/>
          <w:kern w:val="2"/>
          <w:sz w:val="21"/>
          <w:szCs w:val="21"/>
          <w:lang w:val="en-US" w:eastAsia="zh-CN" w:bidi="ar"/>
        </w:rPr>
        <w:t>、</w:t>
      </w:r>
      <w:r>
        <w:rPr>
          <w:rFonts w:hint="default" w:ascii="Times New Roman" w:hAnsi="Times New Roman" w:eastAsia="宋体" w:cs="Times New Roman"/>
          <w:b w:val="0"/>
          <w:kern w:val="2"/>
          <w:sz w:val="21"/>
          <w:szCs w:val="21"/>
          <w:lang w:val="en-US" w:eastAsia="zh-CN" w:bidi="ar"/>
        </w:rPr>
        <w:t>0.25λ</w:t>
      </w:r>
      <w:r>
        <w:t>。</w:t>
      </w:r>
    </w:p>
    <w:p>
      <w:pPr>
        <w:pStyle w:val="171"/>
      </w:pPr>
    </w:p>
    <w:p>
      <w:pPr>
        <w:pStyle w:val="171"/>
      </w:pPr>
      <w:r>
        <w:t>制备含内毒素的供试品溶液：将供试品稀释至预试验中确定的不干扰稀释倍数，再用此稀释液将上述同一支细菌内毒素标准品稀释成 4 个浓度即</w:t>
      </w:r>
      <w:r>
        <w:rPr>
          <w:rFonts w:hint="eastAsia"/>
          <w:lang w:val="en-US" w:eastAsia="zh-CN"/>
        </w:rPr>
        <w:t>2</w:t>
      </w:r>
      <w:r>
        <w:rPr>
          <w:rFonts w:ascii="Times New Roman" w:hAnsi="Times New Roman" w:eastAsia="宋体" w:cstheme="minorBidi"/>
          <w:b w:val="0"/>
          <w:kern w:val="2"/>
          <w:sz w:val="21"/>
          <w:szCs w:val="21"/>
          <w:lang w:val="en-US" w:eastAsia="zh-CN" w:bidi="ar"/>
        </w:rPr>
        <w:t>λ</w:t>
      </w:r>
      <w:r>
        <w:rPr>
          <w:rFonts w:hint="eastAsia" w:ascii="宋体" w:hAnsi="宋体" w:eastAsia="宋体" w:cs="宋体"/>
          <w:b w:val="0"/>
          <w:kern w:val="2"/>
          <w:sz w:val="21"/>
          <w:szCs w:val="21"/>
          <w:lang w:val="en-US" w:eastAsia="zh-CN" w:bidi="ar"/>
        </w:rPr>
        <w:t>、</w:t>
      </w:r>
      <w:r>
        <w:rPr>
          <w:rFonts w:hint="default" w:ascii="Times New Roman" w:hAnsi="Times New Roman" w:eastAsia="宋体" w:cs="Times New Roman"/>
          <w:b w:val="0"/>
          <w:kern w:val="2"/>
          <w:sz w:val="21"/>
          <w:szCs w:val="21"/>
          <w:lang w:val="en-US" w:eastAsia="zh-CN" w:bidi="ar"/>
        </w:rPr>
        <w:t>λ</w:t>
      </w:r>
      <w:r>
        <w:rPr>
          <w:rFonts w:hint="eastAsia" w:ascii="宋体" w:hAnsi="宋体" w:eastAsia="宋体" w:cs="宋体"/>
          <w:b w:val="0"/>
          <w:kern w:val="2"/>
          <w:sz w:val="21"/>
          <w:szCs w:val="21"/>
          <w:lang w:val="en-US" w:eastAsia="zh-CN" w:bidi="ar"/>
        </w:rPr>
        <w:t>、</w:t>
      </w:r>
      <w:r>
        <w:rPr>
          <w:rFonts w:hint="default" w:ascii="Times New Roman" w:hAnsi="Times New Roman" w:eastAsia="宋体" w:cs="Times New Roman"/>
          <w:b w:val="0"/>
          <w:kern w:val="2"/>
          <w:sz w:val="21"/>
          <w:szCs w:val="21"/>
          <w:lang w:val="en-US" w:eastAsia="zh-CN" w:bidi="ar"/>
        </w:rPr>
        <w:t>0.5λ</w:t>
      </w:r>
      <w:r>
        <w:rPr>
          <w:rFonts w:hint="eastAsia" w:ascii="宋体" w:hAnsi="宋体" w:eastAsia="宋体" w:cs="宋体"/>
          <w:b w:val="0"/>
          <w:kern w:val="2"/>
          <w:sz w:val="21"/>
          <w:szCs w:val="21"/>
          <w:lang w:val="en-US" w:eastAsia="zh-CN" w:bidi="ar"/>
        </w:rPr>
        <w:t>、</w:t>
      </w:r>
      <w:r>
        <w:rPr>
          <w:rFonts w:hint="default" w:ascii="Times New Roman" w:hAnsi="Times New Roman" w:eastAsia="宋体" w:cs="Times New Roman"/>
          <w:b w:val="0"/>
          <w:kern w:val="2"/>
          <w:sz w:val="21"/>
          <w:szCs w:val="21"/>
          <w:lang w:val="en-US" w:eastAsia="zh-CN" w:bidi="ar"/>
        </w:rPr>
        <w:t>0.25λ</w:t>
      </w:r>
      <w:r>
        <w:t xml:space="preserve"> 的含内毒素的供试品溶液。</w:t>
      </w:r>
    </w:p>
    <w:p>
      <w:pPr>
        <w:pStyle w:val="171"/>
      </w:pPr>
    </w:p>
    <w:p>
      <w:pPr>
        <w:keepNext w:val="0"/>
        <w:keepLines w:val="0"/>
        <w:widowControl/>
        <w:suppressLineNumbers w:val="0"/>
        <w:spacing w:before="0" w:beforeAutospacing="0" w:after="0" w:afterAutospacing="0"/>
        <w:ind w:left="0" w:right="0"/>
        <w:jc w:val="both"/>
      </w:pPr>
      <w:r>
        <w:t>举例：以注射用头孢哌酮钠（1克/瓶）为例：</w:t>
      </w:r>
    </w:p>
    <w:p>
      <w:pPr>
        <w:keepNext w:val="0"/>
        <w:keepLines w:val="0"/>
        <w:widowControl/>
        <w:suppressLineNumbers w:val="0"/>
        <w:spacing w:before="0" w:beforeAutospacing="0" w:after="0" w:afterAutospacing="0"/>
        <w:ind w:left="0" w:right="0"/>
        <w:jc w:val="both"/>
      </w:pPr>
    </w:p>
    <w:p>
      <w:pPr>
        <w:keepNext w:val="0"/>
        <w:keepLines w:val="0"/>
        <w:widowControl/>
        <w:suppressLineNumbers w:val="0"/>
        <w:spacing w:before="0" w:beforeAutospacing="0" w:after="0" w:afterAutospacing="0"/>
        <w:ind w:left="0" w:right="0"/>
        <w:jc w:val="both"/>
        <w:rPr>
          <w:rFonts w:hint="default" w:ascii="Times New Roman" w:hAnsi="Times New Roman" w:eastAsia="宋体" w:cs="Times New Roman"/>
          <w:b w:val="0"/>
          <w:kern w:val="2"/>
          <w:sz w:val="24"/>
          <w:szCs w:val="24"/>
          <w:lang w:val="en-US" w:eastAsia="zh-CN" w:bidi="ar"/>
        </w:rPr>
      </w:pPr>
      <w:r>
        <w:rPr>
          <w:rFonts w:hint="eastAsia"/>
          <w:b/>
          <w:bCs/>
          <w:lang w:val="en-US" w:eastAsia="zh-CN"/>
        </w:rPr>
        <w:t>1.标准品制备</w:t>
      </w:r>
      <w:r>
        <w:rPr>
          <w:rFonts w:hint="eastAsia"/>
          <w:lang w:val="en-US" w:eastAsia="zh-CN"/>
        </w:rPr>
        <w:t>：</w:t>
      </w:r>
      <w:r>
        <w:t>取 10ml 检查用水溶解注射用头孢哌酮钠即为 100mg/ml，用内毒素检查用水将其稀释 20 倍（即 5mg/ml）后备用（注：冻干品或无菌粉末检查用水溶解后体积有无变化，根据具体情况定）。取一支细菌内毒素标准品，加入 1ml 细菌内毒素检查用水溶解，混匀后使用 5mg/ml 头孢哌酮钠溶液作为溶剂将细菌内毒素标准品依次稀释至</w:t>
      </w:r>
      <w:r>
        <w:rPr>
          <w:rFonts w:hint="eastAsia" w:ascii="宋体" w:hAnsi="宋体" w:eastAsia="宋体" w:cs="宋体"/>
          <w:b w:val="0"/>
          <w:kern w:val="2"/>
          <w:sz w:val="24"/>
          <w:szCs w:val="24"/>
          <w:lang w:val="en-US" w:eastAsia="zh-CN" w:bidi="ar"/>
        </w:rPr>
        <w:t>2</w:t>
      </w:r>
      <w:r>
        <w:rPr>
          <w:rFonts w:ascii="Times New Roman" w:hAnsi="Times New Roman" w:eastAsia="宋体" w:cstheme="minorBidi"/>
          <w:b w:val="0"/>
          <w:kern w:val="2"/>
          <w:sz w:val="24"/>
          <w:szCs w:val="24"/>
          <w:lang w:val="en-US" w:eastAsia="zh-CN" w:bidi="ar"/>
        </w:rPr>
        <w:t>λ</w:t>
      </w:r>
      <w:r>
        <w:rPr>
          <w:rFonts w:hint="eastAsia" w:ascii="宋体" w:hAnsi="宋体" w:eastAsia="宋体" w:cs="宋体"/>
          <w:b w:val="0"/>
          <w:kern w:val="2"/>
          <w:sz w:val="24"/>
          <w:szCs w:val="24"/>
          <w:lang w:val="en-US" w:eastAsia="zh-CN" w:bidi="ar"/>
        </w:rPr>
        <w:t>、</w:t>
      </w:r>
      <w:r>
        <w:rPr>
          <w:rFonts w:hint="default" w:ascii="Times New Roman" w:hAnsi="Times New Roman" w:eastAsia="宋体" w:cs="Times New Roman"/>
          <w:b w:val="0"/>
          <w:kern w:val="2"/>
          <w:sz w:val="24"/>
          <w:szCs w:val="24"/>
          <w:lang w:val="en-US" w:eastAsia="zh-CN" w:bidi="ar"/>
        </w:rPr>
        <w:t>λ</w:t>
      </w:r>
      <w:r>
        <w:rPr>
          <w:rFonts w:hint="eastAsia" w:ascii="宋体" w:hAnsi="宋体" w:eastAsia="宋体" w:cs="宋体"/>
          <w:b w:val="0"/>
          <w:kern w:val="2"/>
          <w:sz w:val="24"/>
          <w:szCs w:val="24"/>
          <w:lang w:val="en-US" w:eastAsia="zh-CN" w:bidi="ar"/>
        </w:rPr>
        <w:t>、</w:t>
      </w:r>
      <w:r>
        <w:rPr>
          <w:rFonts w:hint="default" w:ascii="Times New Roman" w:hAnsi="Times New Roman" w:eastAsia="宋体" w:cs="Times New Roman"/>
          <w:b w:val="0"/>
          <w:kern w:val="2"/>
          <w:sz w:val="24"/>
          <w:szCs w:val="24"/>
          <w:lang w:val="en-US" w:eastAsia="zh-CN" w:bidi="ar"/>
        </w:rPr>
        <w:t>0.5λ</w:t>
      </w:r>
      <w:r>
        <w:rPr>
          <w:rFonts w:hint="eastAsia" w:ascii="宋体" w:hAnsi="宋体" w:eastAsia="宋体" w:cs="宋体"/>
          <w:b w:val="0"/>
          <w:kern w:val="2"/>
          <w:sz w:val="24"/>
          <w:szCs w:val="24"/>
          <w:lang w:val="en-US" w:eastAsia="zh-CN" w:bidi="ar"/>
        </w:rPr>
        <w:t>、</w:t>
      </w:r>
      <w:r>
        <w:rPr>
          <w:rFonts w:hint="default" w:ascii="Times New Roman" w:hAnsi="Times New Roman" w:eastAsia="宋体" w:cs="Times New Roman"/>
          <w:b w:val="0"/>
          <w:kern w:val="2"/>
          <w:sz w:val="24"/>
          <w:szCs w:val="24"/>
          <w:lang w:val="en-US" w:eastAsia="zh-CN" w:bidi="ar"/>
        </w:rPr>
        <w:t>0.25λ</w:t>
      </w:r>
    </w:p>
    <w:p>
      <w:pPr>
        <w:pStyle w:val="171"/>
        <w:ind w:left="0" w:leftChars="0" w:firstLine="0" w:firstLineChars="0"/>
      </w:pPr>
      <w:r>
        <w:rPr>
          <w:rFonts w:hint="eastAsia"/>
          <w:b/>
          <w:bCs/>
          <w:lang w:val="en-US" w:eastAsia="zh-CN"/>
        </w:rPr>
        <w:t>2.</w:t>
      </w:r>
      <w:r>
        <w:rPr>
          <w:b/>
          <w:bCs/>
        </w:rPr>
        <w:t>鲎试剂的准备：</w:t>
      </w:r>
      <w:r>
        <w:t>按 4.1.1.2 方法准备鲎试剂 28 支。</w:t>
      </w:r>
    </w:p>
    <w:p>
      <w:pPr>
        <w:pStyle w:val="171"/>
        <w:ind w:left="0" w:leftChars="0" w:firstLine="0" w:firstLineChars="0"/>
      </w:pPr>
      <w:r>
        <w:rPr>
          <w:rFonts w:hint="eastAsia"/>
          <w:b/>
          <w:bCs/>
          <w:lang w:val="en-US" w:eastAsia="zh-CN"/>
        </w:rPr>
        <w:t>3.</w:t>
      </w:r>
      <w:r>
        <w:rPr>
          <w:b/>
          <w:bCs/>
        </w:rPr>
        <w:t>加样：</w:t>
      </w:r>
      <w:r>
        <w:t>将准备好的 28 支鲎试剂放在试管架上。将</w:t>
      </w:r>
      <w:r>
        <w:rPr>
          <w:rFonts w:hint="eastAsia" w:ascii="宋体" w:hAnsi="宋体" w:eastAsia="宋体" w:cs="宋体"/>
          <w:b w:val="0"/>
          <w:kern w:val="2"/>
          <w:sz w:val="24"/>
          <w:szCs w:val="24"/>
          <w:lang w:val="en-US" w:eastAsia="zh-CN" w:bidi="ar"/>
        </w:rPr>
        <w:t>2</w:t>
      </w:r>
      <w:r>
        <w:rPr>
          <w:rFonts w:ascii="Times New Roman" w:hAnsi="Times New Roman" w:eastAsia="宋体" w:cstheme="minorBidi"/>
          <w:b w:val="0"/>
          <w:kern w:val="2"/>
          <w:sz w:val="24"/>
          <w:szCs w:val="24"/>
          <w:lang w:val="en-US" w:eastAsia="zh-CN" w:bidi="ar"/>
        </w:rPr>
        <w:t>λ</w:t>
      </w:r>
      <w:r>
        <w:rPr>
          <w:rFonts w:hint="eastAsia" w:ascii="宋体" w:hAnsi="宋体" w:eastAsia="宋体" w:cs="宋体"/>
          <w:b w:val="0"/>
          <w:kern w:val="2"/>
          <w:sz w:val="24"/>
          <w:szCs w:val="24"/>
          <w:lang w:val="en-US" w:eastAsia="zh-CN" w:bidi="ar"/>
        </w:rPr>
        <w:t>、</w:t>
      </w:r>
      <w:r>
        <w:rPr>
          <w:rFonts w:hint="default" w:ascii="Times New Roman" w:hAnsi="Times New Roman" w:eastAsia="宋体" w:cs="Times New Roman"/>
          <w:b w:val="0"/>
          <w:kern w:val="2"/>
          <w:sz w:val="24"/>
          <w:szCs w:val="24"/>
          <w:lang w:val="en-US" w:eastAsia="zh-CN" w:bidi="ar"/>
        </w:rPr>
        <w:t>λ</w:t>
      </w:r>
      <w:r>
        <w:rPr>
          <w:rFonts w:hint="eastAsia" w:ascii="宋体" w:hAnsi="宋体" w:eastAsia="宋体" w:cs="宋体"/>
          <w:b w:val="0"/>
          <w:kern w:val="2"/>
          <w:sz w:val="24"/>
          <w:szCs w:val="24"/>
          <w:lang w:val="en-US" w:eastAsia="zh-CN" w:bidi="ar"/>
        </w:rPr>
        <w:t>、</w:t>
      </w:r>
      <w:r>
        <w:rPr>
          <w:rFonts w:hint="default" w:ascii="Times New Roman" w:hAnsi="Times New Roman" w:eastAsia="宋体" w:cs="Times New Roman"/>
          <w:b w:val="0"/>
          <w:kern w:val="2"/>
          <w:sz w:val="24"/>
          <w:szCs w:val="24"/>
          <w:lang w:val="en-US" w:eastAsia="zh-CN" w:bidi="ar"/>
        </w:rPr>
        <w:t>0.5λ</w:t>
      </w:r>
      <w:r>
        <w:rPr>
          <w:rFonts w:hint="eastAsia" w:ascii="宋体" w:hAnsi="宋体" w:eastAsia="宋体" w:cs="宋体"/>
          <w:b w:val="0"/>
          <w:kern w:val="2"/>
          <w:sz w:val="24"/>
          <w:szCs w:val="24"/>
          <w:lang w:val="en-US" w:eastAsia="zh-CN" w:bidi="ar"/>
        </w:rPr>
        <w:t>、</w:t>
      </w:r>
      <w:r>
        <w:rPr>
          <w:rFonts w:hint="default" w:ascii="Times New Roman" w:hAnsi="Times New Roman" w:eastAsia="宋体" w:cs="Times New Roman"/>
          <w:b w:val="0"/>
          <w:kern w:val="2"/>
          <w:sz w:val="24"/>
          <w:szCs w:val="24"/>
          <w:lang w:val="en-US" w:eastAsia="zh-CN" w:bidi="ar"/>
        </w:rPr>
        <w:t>0.25λ</w:t>
      </w:r>
      <w:r>
        <w:t xml:space="preserve"> 的内毒素标准溶液每一浓度加 2 支管，另取 2 支加入检查用水作为阴性对照。将含</w:t>
      </w:r>
      <w:r>
        <w:rPr>
          <w:rFonts w:hint="eastAsia" w:ascii="宋体" w:hAnsi="宋体" w:eastAsia="宋体" w:cs="宋体"/>
          <w:b w:val="0"/>
          <w:kern w:val="2"/>
          <w:sz w:val="24"/>
          <w:szCs w:val="24"/>
          <w:lang w:val="en-US" w:eastAsia="zh-CN" w:bidi="ar"/>
        </w:rPr>
        <w:t>2</w:t>
      </w:r>
      <w:r>
        <w:rPr>
          <w:rFonts w:ascii="Times New Roman" w:hAnsi="Times New Roman" w:eastAsia="宋体" w:cstheme="minorBidi"/>
          <w:b w:val="0"/>
          <w:kern w:val="2"/>
          <w:sz w:val="24"/>
          <w:szCs w:val="24"/>
          <w:lang w:val="en-US" w:eastAsia="zh-CN" w:bidi="ar"/>
        </w:rPr>
        <w:t>λ</w:t>
      </w:r>
      <w:r>
        <w:rPr>
          <w:rFonts w:hint="eastAsia" w:ascii="宋体" w:hAnsi="宋体" w:eastAsia="宋体" w:cs="宋体"/>
          <w:b w:val="0"/>
          <w:kern w:val="2"/>
          <w:sz w:val="24"/>
          <w:szCs w:val="24"/>
          <w:lang w:val="en-US" w:eastAsia="zh-CN" w:bidi="ar"/>
        </w:rPr>
        <w:t>、</w:t>
      </w:r>
      <w:r>
        <w:rPr>
          <w:rFonts w:hint="default" w:ascii="Times New Roman" w:hAnsi="Times New Roman" w:eastAsia="宋体" w:cs="Times New Roman"/>
          <w:b w:val="0"/>
          <w:kern w:val="2"/>
          <w:sz w:val="24"/>
          <w:szCs w:val="24"/>
          <w:lang w:val="en-US" w:eastAsia="zh-CN" w:bidi="ar"/>
        </w:rPr>
        <w:t>λ</w:t>
      </w:r>
      <w:r>
        <w:rPr>
          <w:rFonts w:hint="eastAsia" w:ascii="宋体" w:hAnsi="宋体" w:eastAsia="宋体" w:cs="宋体"/>
          <w:b w:val="0"/>
          <w:kern w:val="2"/>
          <w:sz w:val="24"/>
          <w:szCs w:val="24"/>
          <w:lang w:val="en-US" w:eastAsia="zh-CN" w:bidi="ar"/>
        </w:rPr>
        <w:t>、</w:t>
      </w:r>
      <w:r>
        <w:rPr>
          <w:rFonts w:hint="default" w:ascii="Times New Roman" w:hAnsi="Times New Roman" w:eastAsia="宋体" w:cs="Times New Roman"/>
          <w:b w:val="0"/>
          <w:kern w:val="2"/>
          <w:sz w:val="24"/>
          <w:szCs w:val="24"/>
          <w:lang w:val="en-US" w:eastAsia="zh-CN" w:bidi="ar"/>
        </w:rPr>
        <w:t>0.5λ</w:t>
      </w:r>
      <w:r>
        <w:rPr>
          <w:rFonts w:hint="eastAsia" w:ascii="宋体" w:hAnsi="宋体" w:eastAsia="宋体" w:cs="宋体"/>
          <w:b w:val="0"/>
          <w:kern w:val="2"/>
          <w:sz w:val="24"/>
          <w:szCs w:val="24"/>
          <w:lang w:val="en-US" w:eastAsia="zh-CN" w:bidi="ar"/>
        </w:rPr>
        <w:t>、</w:t>
      </w:r>
      <w:r>
        <w:rPr>
          <w:rFonts w:hint="default" w:ascii="Times New Roman" w:hAnsi="Times New Roman" w:eastAsia="宋体" w:cs="Times New Roman"/>
          <w:b w:val="0"/>
          <w:kern w:val="2"/>
          <w:sz w:val="24"/>
          <w:szCs w:val="24"/>
          <w:lang w:val="en-US" w:eastAsia="zh-CN" w:bidi="ar"/>
        </w:rPr>
        <w:t>0.25λ</w:t>
      </w:r>
      <w:r>
        <w:t xml:space="preserve"> 的内毒素的供试品溶液每一浓度加 4 支管，另取 2 支加入供试品溶液作为样品阴性对照。加样体积均为 0.1ml。</w:t>
      </w:r>
    </w:p>
    <w:p>
      <w:pPr>
        <w:pStyle w:val="171"/>
        <w:ind w:left="0" w:leftChars="0" w:firstLine="0" w:firstLineChars="0"/>
      </w:pPr>
      <w:r>
        <w:rPr>
          <w:rFonts w:hint="eastAsia"/>
          <w:b/>
          <w:bCs/>
          <w:lang w:val="en-US" w:eastAsia="zh-CN"/>
        </w:rPr>
        <w:t>4.</w:t>
      </w:r>
      <w:r>
        <w:rPr>
          <w:b/>
          <w:bCs/>
        </w:rPr>
        <w:t>保温：</w:t>
      </w:r>
      <w:r>
        <w:t>加样结束后，放入 37℃±1℃ 水浴或适宜恒温器中，保温 60 分钟±2 分钟，观察并记录结果。</w:t>
      </w:r>
    </w:p>
    <w:p>
      <w:pPr>
        <w:pStyle w:val="171"/>
      </w:pPr>
    </w:p>
    <w:p>
      <w:pPr>
        <w:pStyle w:val="169"/>
      </w:pPr>
      <w:r>
        <w:t>4.2.3 结果判断</w:t>
      </w:r>
    </w:p>
    <w:p>
      <w:pPr>
        <w:pStyle w:val="169"/>
        <w:rPr>
          <w:rFonts w:hint="eastAsia"/>
          <w:lang w:eastAsia="zh-CN"/>
        </w:rPr>
      </w:pPr>
    </w:p>
    <w:p>
      <w:pPr>
        <w:pStyle w:val="171"/>
      </w:pPr>
      <w:r>
        <w:t>只有当阴性对照和样品阴性对照溶液的所有平行管都为阴性，并且内毒素标准系列的结果在鲎试剂灵敏度复核范围内时，试验方为有效。</w:t>
      </w:r>
    </w:p>
    <w:p>
      <w:pPr>
        <w:pStyle w:val="171"/>
      </w:pPr>
    </w:p>
    <w:p>
      <w:pPr>
        <w:pStyle w:val="171"/>
      </w:pPr>
      <w:r>
        <w:t>当供试品系列的结果符合鲎试剂灵敏度复核试验的要求时，即最大浓度</w:t>
      </w:r>
    </w:p>
    <w:p>
      <w:pPr>
        <w:pStyle w:val="171"/>
      </w:pPr>
      <w:r>
        <w:t>2λ 的 4 管均为阳性，最低浓度0.25λ 的 4 管均为阴性，阴性对照为阴性时，认为供试品在该浓度下无干扰作用。</w:t>
      </w:r>
    </w:p>
    <w:p>
      <w:pPr>
        <w:pStyle w:val="171"/>
      </w:pPr>
      <w:r>
        <w:t>其他情况则认为供试品在该浓度下干扰试验。应使用适宜方法排除干扰，如对供试品进行更大倍数的稀释，是排除干扰因素的简单有效方法。</w:t>
      </w:r>
    </w:p>
    <w:p>
      <w:pPr>
        <w:pStyle w:val="171"/>
      </w:pPr>
      <w:r>
        <w:t>在建立品种的细菌内毒素检查法时，为验证样品和不同鲎试剂反应的一致性，要求同时使用两个生产厂家的鲎试剂对至少三批样品进行干扰试验。如为上市品种建立统一的细菌内毒素检查法，应检测两个以上生产厂家的样品（独家上市品种除外）；如为新药需检测连续生产的样品。</w:t>
      </w:r>
    </w:p>
    <w:p>
      <w:pPr>
        <w:pStyle w:val="171"/>
      </w:pPr>
    </w:p>
    <w:p>
      <w:pPr>
        <w:pStyle w:val="168"/>
      </w:pPr>
      <w:r>
        <w:t>4.3 凝胶限度试验</w:t>
      </w:r>
    </w:p>
    <w:p>
      <w:pPr>
        <w:pStyle w:val="168"/>
      </w:pPr>
    </w:p>
    <w:p>
      <w:pPr>
        <w:pStyle w:val="171"/>
      </w:pPr>
      <w:r>
        <w:rPr>
          <w:rFonts w:hint="eastAsia"/>
          <w:lang w:val="en-US" w:eastAsia="zh-CN"/>
        </w:rPr>
        <w:t>实验有效性说明：</w:t>
      </w:r>
      <w:r>
        <w:t>在细菌内毒素检查中，每批供试品必须做 2 支供试品管和 2 支供试品阳性对照，同时每次试验须做 2 支阳性对照和 2 支阴性对照。</w:t>
      </w:r>
    </w:p>
    <w:p>
      <w:pPr>
        <w:pStyle w:val="171"/>
      </w:pPr>
    </w:p>
    <w:p>
      <w:pPr>
        <w:pStyle w:val="169"/>
      </w:pPr>
      <w:r>
        <w:t>4.3.1 操作方法</w:t>
      </w:r>
    </w:p>
    <w:p>
      <w:pPr>
        <w:pStyle w:val="169"/>
      </w:pPr>
    </w:p>
    <w:p>
      <w:pPr>
        <w:pStyle w:val="171"/>
      </w:pPr>
      <w:r>
        <w:t>供试品溶液的制备：首先计算MVD=c⋅L/λ。λ 为所使用鲎试剂的标示灵敏度。然后将供试品进行稀释，其稀释倍数不得超过 MVD。</w:t>
      </w:r>
    </w:p>
    <w:p>
      <w:pPr>
        <w:pStyle w:val="171"/>
        <w:ind w:left="0" w:leftChars="0" w:firstLine="0" w:firstLineChars="0"/>
      </w:pPr>
      <w:r>
        <w:rPr>
          <w:rFonts w:hint="eastAsia"/>
          <w:b/>
          <w:bCs/>
          <w:lang w:val="en-US" w:eastAsia="zh-CN"/>
        </w:rPr>
        <w:t>1.</w:t>
      </w:r>
      <w:r>
        <w:rPr>
          <w:b/>
          <w:bCs/>
        </w:rPr>
        <w:t>阳性对照溶液的制备：</w:t>
      </w:r>
      <w:r>
        <w:t>用检查用水将标准品稀释制成2λ 浓度的内毒素标准溶液（方法同 4.1.1.1）。</w:t>
      </w:r>
    </w:p>
    <w:p>
      <w:pPr>
        <w:pStyle w:val="171"/>
        <w:ind w:left="0" w:leftChars="0" w:firstLine="0" w:firstLineChars="0"/>
      </w:pPr>
      <w:r>
        <w:rPr>
          <w:rFonts w:hint="eastAsia"/>
          <w:b/>
          <w:bCs/>
          <w:lang w:val="en-US" w:eastAsia="zh-CN"/>
        </w:rPr>
        <w:t>2.</w:t>
      </w:r>
      <w:r>
        <w:rPr>
          <w:b/>
          <w:bCs/>
        </w:rPr>
        <w:t>供试品阳性对照溶液的制备：</w:t>
      </w:r>
      <w:r>
        <w:t>用待检测的供试品溶液或其稀释液将内毒素标准品制成2λ 浓度的内毒素溶液（方法同 4.2.1.2.2 供试品阳性对照溶液的制备）。</w:t>
      </w:r>
    </w:p>
    <w:p>
      <w:pPr>
        <w:pStyle w:val="171"/>
        <w:ind w:left="0" w:leftChars="0" w:firstLine="0" w:firstLineChars="0"/>
        <w:rPr>
          <w:b/>
          <w:bCs/>
        </w:rPr>
      </w:pPr>
      <w:r>
        <w:t>也可采用简化法制备含内毒素的供试品溶液：同样以注射用头孢哌酮钠为例：取 0.5ml 浓度为4.0λ 的内毒素标准溶液加 0.5ml 浓度为 10mg/ml (2MVD浓度) 的供试品溶液得到 1ml 的含2λ 内毒素的浓度为 5mg/ml 的供试品溶液。</w:t>
      </w:r>
    </w:p>
    <w:p>
      <w:pPr>
        <w:pStyle w:val="171"/>
        <w:ind w:left="0" w:leftChars="0" w:firstLine="0" w:firstLineChars="0"/>
      </w:pPr>
      <w:r>
        <w:rPr>
          <w:rFonts w:hint="eastAsia"/>
          <w:b/>
          <w:bCs/>
          <w:lang w:val="en-US" w:eastAsia="zh-CN"/>
        </w:rPr>
        <w:t>3.</w:t>
      </w:r>
      <w:r>
        <w:rPr>
          <w:b/>
          <w:bCs/>
        </w:rPr>
        <w:t>阴性对照液</w:t>
      </w:r>
      <w:r>
        <w:rPr>
          <w:rFonts w:hint="eastAsia"/>
          <w:b/>
          <w:bCs/>
          <w:lang w:val="en-US" w:eastAsia="zh-CN"/>
        </w:rPr>
        <w:t>制备</w:t>
      </w:r>
      <w:r>
        <w:rPr>
          <w:b/>
          <w:bCs/>
        </w:rPr>
        <w:t>：</w:t>
      </w:r>
      <w:r>
        <w:t>即细菌内毒素检查用水。</w:t>
      </w:r>
    </w:p>
    <w:p>
      <w:pPr>
        <w:pStyle w:val="171"/>
        <w:ind w:left="0" w:leftChars="0" w:firstLine="0" w:firstLineChars="0"/>
      </w:pPr>
      <w:r>
        <w:rPr>
          <w:rFonts w:hint="eastAsia"/>
          <w:b/>
          <w:bCs/>
          <w:lang w:val="en-US" w:eastAsia="zh-CN"/>
        </w:rPr>
        <w:t>4.</w:t>
      </w:r>
      <w:r>
        <w:rPr>
          <w:b/>
          <w:bCs/>
        </w:rPr>
        <w:t>鲎试剂的准备：</w:t>
      </w:r>
      <w:r>
        <w:t>取复溶后规格为 0.1ml/支或分装好的鲎试剂 8 管备用。</w:t>
      </w:r>
    </w:p>
    <w:p>
      <w:pPr>
        <w:pStyle w:val="171"/>
        <w:ind w:left="0" w:leftChars="0" w:firstLine="0" w:firstLineChars="0"/>
      </w:pPr>
      <w:r>
        <w:rPr>
          <w:rFonts w:hint="eastAsia"/>
          <w:b/>
          <w:bCs/>
          <w:lang w:val="en-US" w:eastAsia="zh-CN"/>
        </w:rPr>
        <w:t>5</w:t>
      </w:r>
      <w:r>
        <w:rPr>
          <w:b/>
          <w:bCs/>
        </w:rPr>
        <w:t>加样：</w:t>
      </w:r>
      <w:r>
        <w:t>其中 2 支加入 0.1ml 供试品溶液或其稀释液（其稀释倍数不得超过 MVD）作为供试品管，2 支加入 0.1ml 阳性对照溶液作为阳性对照管（PC），2 支加入 0.1ml 检查用水作为阴性对照（NC），2 支加入 0.1ml 供试品阳性对照溶液作为供试品阳性对照管（PPC）。</w:t>
      </w:r>
    </w:p>
    <w:p>
      <w:pPr>
        <w:pStyle w:val="171"/>
      </w:pPr>
    </w:p>
    <w:p>
      <w:pPr>
        <w:pStyle w:val="171"/>
        <w:ind w:left="0" w:leftChars="0" w:firstLine="0" w:firstLineChars="0"/>
      </w:pPr>
      <w:r>
        <w:rPr>
          <w:rFonts w:hint="eastAsia"/>
          <w:b/>
          <w:bCs/>
          <w:lang w:val="en-US" w:eastAsia="zh-CN"/>
        </w:rPr>
        <w:t>6.</w:t>
      </w:r>
      <w:r>
        <w:rPr>
          <w:b/>
          <w:bCs/>
        </w:rPr>
        <w:t>保温：</w:t>
      </w:r>
      <w:r>
        <w:t>将管中溶液轻轻混匀后，用封口膜封闭管口，垂直放入 37℃±1℃ 水浴或适宜恒温器中，保温 60 分钟±2 分钟。</w:t>
      </w:r>
    </w:p>
    <w:p>
      <w:pPr>
        <w:pStyle w:val="171"/>
      </w:pPr>
    </w:p>
    <w:p>
      <w:pPr>
        <w:pStyle w:val="169"/>
      </w:pPr>
      <w:r>
        <w:t>4.3.2 结果判断</w:t>
      </w:r>
    </w:p>
    <w:p>
      <w:pPr>
        <w:pStyle w:val="171"/>
      </w:pPr>
    </w:p>
    <w:p>
      <w:pPr>
        <w:pStyle w:val="171"/>
      </w:pPr>
      <w:r>
        <w:rPr>
          <w:rFonts w:hint="eastAsia"/>
          <w:b/>
          <w:bCs/>
          <w:lang w:val="en-US" w:eastAsia="zh-CN"/>
        </w:rPr>
        <w:t>情况1：</w:t>
      </w:r>
      <w:r>
        <w:t>当阳性对照都为阳性、供试品阳性对照都为阳性且阴性对照都为阴性时，试验方为有效。</w:t>
      </w:r>
    </w:p>
    <w:p>
      <w:pPr>
        <w:pStyle w:val="171"/>
      </w:pPr>
    </w:p>
    <w:p>
      <w:pPr>
        <w:pStyle w:val="171"/>
      </w:pPr>
      <w:r>
        <w:rPr>
          <w:rFonts w:hint="eastAsia"/>
          <w:b/>
          <w:bCs/>
          <w:lang w:val="en-US" w:eastAsia="zh-CN"/>
        </w:rPr>
        <w:t>情况2：</w:t>
      </w:r>
      <w:r>
        <w:t>若供试品 2 管均为阴性，认为该供试品符合规定。</w:t>
      </w:r>
    </w:p>
    <w:p>
      <w:pPr>
        <w:pStyle w:val="171"/>
      </w:pPr>
    </w:p>
    <w:p>
      <w:pPr>
        <w:pStyle w:val="171"/>
      </w:pPr>
      <w:r>
        <w:rPr>
          <w:rFonts w:hint="eastAsia"/>
          <w:b/>
          <w:bCs/>
          <w:lang w:val="en-US" w:eastAsia="zh-CN"/>
        </w:rPr>
        <w:t>情况3：</w:t>
      </w:r>
      <w:r>
        <w:t>当供试品的稀释倍数等于 MVD 时结果出现供试品 2 管均为阳性，应认为不符合规定；如 2 管中 1 管为阳性，1 管为阴性，按上述方法另取 4 支供试品管复试，4 管中如有 1 管为阳性，即认为不符合规定。</w:t>
      </w:r>
    </w:p>
    <w:p>
      <w:pPr>
        <w:pStyle w:val="171"/>
      </w:pPr>
    </w:p>
    <w:p>
      <w:pPr>
        <w:pStyle w:val="171"/>
      </w:pPr>
      <w:r>
        <w:rPr>
          <w:rFonts w:hint="eastAsia"/>
          <w:b/>
          <w:bCs/>
          <w:lang w:val="en-US" w:eastAsia="zh-CN"/>
        </w:rPr>
        <w:t>情况4：</w:t>
      </w:r>
      <w:r>
        <w:t>若供试品的稀释倍数小于 MVD 而结果出现 2 管均为阳性或 2 管中 1 管为阳性时，按同样方法将其稀释至 MVD 重新试验，再对结果进行判断。</w:t>
      </w:r>
    </w:p>
    <w:p>
      <w:pPr>
        <w:pStyle w:val="171"/>
      </w:pPr>
    </w:p>
    <w:p>
      <w:pPr>
        <w:pStyle w:val="168"/>
      </w:pPr>
      <w:r>
        <w:t>4.4 凝胶半定量试验</w:t>
      </w:r>
    </w:p>
    <w:p>
      <w:pPr>
        <w:pStyle w:val="171"/>
      </w:pPr>
    </w:p>
    <w:p>
      <w:pPr>
        <w:pStyle w:val="171"/>
      </w:pPr>
      <w:r>
        <w:t>凝胶半定量试验</w:t>
      </w:r>
      <w:r>
        <w:rPr>
          <w:rFonts w:hint="eastAsia"/>
          <w:lang w:val="en-US" w:eastAsia="zh-CN"/>
        </w:rPr>
        <w:t>是什么：</w:t>
      </w:r>
      <w:r>
        <w:t>半定量试验是使用凝胶法估测供试品中内毒素含量的方法。系利用供试品系列与鲎试剂反应的终点浓度计算出供试品中内毒素的含量。</w:t>
      </w:r>
    </w:p>
    <w:p>
      <w:pPr>
        <w:pStyle w:val="171"/>
      </w:pPr>
    </w:p>
    <w:p>
      <w:pPr>
        <w:pStyle w:val="169"/>
        <w:rPr>
          <w:rFonts w:hint="eastAsia"/>
          <w:lang w:val="en-US" w:eastAsia="zh-CN"/>
        </w:rPr>
      </w:pPr>
    </w:p>
    <w:p>
      <w:pPr>
        <w:pStyle w:val="169"/>
        <w:rPr>
          <w:rFonts w:hint="eastAsia"/>
          <w:lang w:val="en-US" w:eastAsia="zh-CN"/>
        </w:rPr>
      </w:pPr>
    </w:p>
    <w:p>
      <w:pPr>
        <w:pStyle w:val="169"/>
        <w:rPr>
          <w:rFonts w:hint="eastAsia"/>
          <w:lang w:val="en-US" w:eastAsia="zh-CN"/>
        </w:rPr>
      </w:pPr>
    </w:p>
    <w:p>
      <w:pPr>
        <w:pStyle w:val="169"/>
      </w:pPr>
      <w:r>
        <w:t>4.4.1 操作方法</w:t>
      </w:r>
    </w:p>
    <w:p>
      <w:pPr>
        <w:pStyle w:val="171"/>
      </w:pPr>
    </w:p>
    <w:p>
      <w:pPr>
        <w:pStyle w:val="171"/>
        <w:ind w:left="0" w:leftChars="0" w:firstLine="0" w:firstLineChars="0"/>
      </w:pPr>
      <w:r>
        <w:rPr>
          <w:rFonts w:hint="eastAsia"/>
          <w:b/>
          <w:bCs/>
          <w:lang w:val="en-US" w:eastAsia="zh-CN"/>
        </w:rPr>
        <w:t>1.</w:t>
      </w:r>
      <w:r>
        <w:rPr>
          <w:b/>
          <w:bCs/>
        </w:rPr>
        <w:t>供试品系列的制备：</w:t>
      </w:r>
      <w:r>
        <w:t>用检查用水将供试品溶液从已确定的不干扰浓度或稀释倍数下开始进行对倍稀释，制备成 2、4、8 等 N 个浓度，但最大稀释倍数不得超过所使用鲎试剂的 MVD。根据试验设计不同确定。</w:t>
      </w:r>
    </w:p>
    <w:p>
      <w:pPr>
        <w:pStyle w:val="171"/>
      </w:pPr>
    </w:p>
    <w:p>
      <w:pPr>
        <w:keepNext w:val="0"/>
        <w:keepLines w:val="0"/>
        <w:widowControl/>
        <w:suppressLineNumbers w:val="0"/>
        <w:spacing w:before="0" w:beforeAutospacing="1" w:after="120" w:afterAutospacing="0" w:line="360" w:lineRule="auto"/>
        <w:ind w:left="0" w:right="0"/>
        <w:jc w:val="left"/>
      </w:pPr>
      <w:r>
        <w:rPr>
          <w:rFonts w:hint="eastAsia"/>
          <w:b/>
          <w:bCs/>
          <w:lang w:val="en-US" w:eastAsia="zh-CN"/>
        </w:rPr>
        <w:t>2.</w:t>
      </w:r>
      <w:r>
        <w:rPr>
          <w:b/>
          <w:bCs/>
        </w:rPr>
        <w:t>内毒素标准系列的制备：</w:t>
      </w:r>
      <w:r>
        <w:t>用检查用水将内毒素标准品稀释成 4 个浓度的标准溶液即</w:t>
      </w:r>
      <w:r>
        <w:rPr>
          <w:rFonts w:hint="eastAsia" w:ascii="宋体" w:hAnsi="宋体" w:eastAsia="宋体" w:cs="宋体"/>
          <w:b w:val="0"/>
          <w:kern w:val="2"/>
          <w:sz w:val="24"/>
          <w:szCs w:val="24"/>
          <w:lang w:val="en-US" w:eastAsia="zh-CN" w:bidi="ar"/>
        </w:rPr>
        <w:t>2</w:t>
      </w:r>
      <w:r>
        <w:rPr>
          <w:rFonts w:hint="default" w:ascii="Times New Roman" w:hAnsi="Times New Roman" w:eastAsia="宋体" w:cs="Times New Roman"/>
          <w:b w:val="0"/>
          <w:kern w:val="2"/>
          <w:sz w:val="24"/>
          <w:szCs w:val="24"/>
          <w:lang w:val="en-US" w:eastAsia="zh-CN" w:bidi="ar"/>
        </w:rPr>
        <w:t>λ</w:t>
      </w:r>
      <w:r>
        <w:rPr>
          <w:rFonts w:hint="eastAsia" w:ascii="宋体" w:hAnsi="宋体" w:eastAsia="宋体" w:cs="宋体"/>
          <w:b w:val="0"/>
          <w:kern w:val="2"/>
          <w:sz w:val="24"/>
          <w:szCs w:val="24"/>
          <w:lang w:val="en-US" w:eastAsia="zh-CN" w:bidi="ar"/>
        </w:rPr>
        <w:t>、</w:t>
      </w:r>
      <w:r>
        <w:rPr>
          <w:rFonts w:hint="default" w:ascii="Times New Roman" w:hAnsi="Times New Roman" w:eastAsia="宋体" w:cs="Times New Roman"/>
          <w:b w:val="0"/>
          <w:kern w:val="2"/>
          <w:sz w:val="24"/>
          <w:szCs w:val="24"/>
          <w:lang w:val="en-US" w:eastAsia="zh-CN" w:bidi="ar"/>
        </w:rPr>
        <w:t>λ</w:t>
      </w:r>
      <w:r>
        <w:rPr>
          <w:rFonts w:hint="eastAsia" w:ascii="宋体" w:hAnsi="宋体" w:eastAsia="宋体" w:cs="宋体"/>
          <w:b w:val="0"/>
          <w:kern w:val="2"/>
          <w:sz w:val="24"/>
          <w:szCs w:val="24"/>
          <w:lang w:val="en-US" w:eastAsia="zh-CN" w:bidi="ar"/>
        </w:rPr>
        <w:t>、</w:t>
      </w:r>
      <w:r>
        <w:rPr>
          <w:rFonts w:hint="default" w:ascii="Times New Roman" w:hAnsi="Times New Roman" w:eastAsia="宋体" w:cs="Times New Roman"/>
          <w:b w:val="0"/>
          <w:kern w:val="2"/>
          <w:sz w:val="24"/>
          <w:szCs w:val="24"/>
          <w:lang w:val="en-US" w:eastAsia="zh-CN" w:bidi="ar"/>
        </w:rPr>
        <w:t>0.5λ</w:t>
      </w:r>
      <w:r>
        <w:rPr>
          <w:rFonts w:hint="eastAsia" w:ascii="宋体" w:hAnsi="宋体" w:eastAsia="宋体" w:cs="宋体"/>
          <w:b w:val="0"/>
          <w:kern w:val="2"/>
          <w:sz w:val="24"/>
          <w:szCs w:val="24"/>
          <w:lang w:val="en-US" w:eastAsia="zh-CN" w:bidi="ar"/>
        </w:rPr>
        <w:t>、</w:t>
      </w:r>
      <w:r>
        <w:rPr>
          <w:rFonts w:hint="default" w:ascii="Times New Roman" w:hAnsi="Times New Roman" w:eastAsia="宋体" w:cs="Times New Roman"/>
          <w:b w:val="0"/>
          <w:kern w:val="2"/>
          <w:sz w:val="24"/>
          <w:szCs w:val="24"/>
          <w:lang w:val="en-US" w:eastAsia="zh-CN" w:bidi="ar"/>
        </w:rPr>
        <w:t>0.25λ</w:t>
      </w:r>
    </w:p>
    <w:p>
      <w:pPr>
        <w:pStyle w:val="171"/>
        <w:ind w:left="0" w:leftChars="0" w:firstLine="0" w:firstLineChars="0"/>
      </w:pPr>
    </w:p>
    <w:p>
      <w:pPr>
        <w:pStyle w:val="171"/>
        <w:ind w:left="0" w:leftChars="0" w:firstLine="0" w:firstLineChars="0"/>
      </w:pPr>
      <w:r>
        <w:rPr>
          <w:rFonts w:hint="eastAsia"/>
          <w:b/>
          <w:bCs/>
          <w:lang w:val="en-US" w:eastAsia="zh-CN"/>
        </w:rPr>
        <w:t>3</w:t>
      </w:r>
      <w:r>
        <w:rPr>
          <w:b/>
          <w:bCs/>
        </w:rPr>
        <w:t>供试品阳性对照溶液的制备：</w:t>
      </w:r>
      <w:r>
        <w:t>用已确定不干扰浓度或稀释倍数的供试品溶液将内毒素标准品制成2λ 浓度的内毒素溶液。</w:t>
      </w:r>
    </w:p>
    <w:p>
      <w:pPr>
        <w:pStyle w:val="171"/>
      </w:pPr>
    </w:p>
    <w:p>
      <w:pPr>
        <w:pStyle w:val="171"/>
        <w:ind w:left="0" w:leftChars="0" w:firstLine="0" w:firstLineChars="0"/>
      </w:pPr>
      <w:r>
        <w:rPr>
          <w:rFonts w:hint="eastAsia"/>
          <w:b/>
          <w:bCs/>
          <w:lang w:val="en-US" w:eastAsia="zh-CN"/>
        </w:rPr>
        <w:t>4.</w:t>
      </w:r>
      <w:r>
        <w:rPr>
          <w:b/>
          <w:bCs/>
        </w:rPr>
        <w:t>阴性对照液：</w:t>
      </w:r>
      <w:r>
        <w:t>即细菌内毒素检查用水。</w:t>
      </w:r>
    </w:p>
    <w:p>
      <w:pPr>
        <w:pStyle w:val="171"/>
      </w:pPr>
    </w:p>
    <w:p>
      <w:pPr>
        <w:pStyle w:val="171"/>
        <w:ind w:left="0" w:leftChars="0" w:firstLine="0" w:firstLineChars="0"/>
      </w:pPr>
      <w:r>
        <w:rPr>
          <w:rFonts w:hint="eastAsia"/>
          <w:b/>
          <w:bCs/>
          <w:lang w:val="en-US" w:eastAsia="zh-CN"/>
        </w:rPr>
        <w:t>5.</w:t>
      </w:r>
      <w:r>
        <w:rPr>
          <w:b/>
          <w:bCs/>
        </w:rPr>
        <w:t>鲎试剂的准备：</w:t>
      </w:r>
      <w:r>
        <w:t>取规格为 0.1ml/支或分装好的鲎试剂12+2N 支，其他准备按干扰试验项下的“鲎试剂准备”。</w:t>
      </w:r>
    </w:p>
    <w:p>
      <w:pPr>
        <w:pStyle w:val="171"/>
      </w:pPr>
    </w:p>
    <w:p>
      <w:pPr>
        <w:keepNext w:val="0"/>
        <w:keepLines w:val="0"/>
        <w:widowControl/>
        <w:suppressLineNumbers w:val="0"/>
        <w:spacing w:before="0" w:beforeAutospacing="1" w:after="120" w:afterAutospacing="0" w:line="360" w:lineRule="auto"/>
        <w:ind w:left="0" w:right="0"/>
        <w:jc w:val="left"/>
      </w:pPr>
      <w:r>
        <w:rPr>
          <w:rFonts w:hint="eastAsia"/>
          <w:b/>
          <w:bCs/>
          <w:lang w:val="en-US" w:eastAsia="zh-CN"/>
        </w:rPr>
        <w:t>6.</w:t>
      </w:r>
      <w:r>
        <w:rPr>
          <w:b/>
          <w:bCs/>
        </w:rPr>
        <w:t>加样：</w:t>
      </w:r>
      <w:r>
        <w:t>将准备好的 鲎试剂取其中 10 支（管）放在试管架上，排成 5 列，每列 2 支。其中 4 列每列每支分别加入 0.1ml 的</w:t>
      </w:r>
      <w:r>
        <w:rPr>
          <w:rFonts w:hint="eastAsia" w:ascii="宋体" w:hAnsi="宋体" w:eastAsia="宋体" w:cs="宋体"/>
          <w:b w:val="0"/>
          <w:kern w:val="2"/>
          <w:sz w:val="24"/>
          <w:szCs w:val="24"/>
          <w:lang w:val="en-US" w:eastAsia="zh-CN" w:bidi="ar"/>
        </w:rPr>
        <w:t>2</w:t>
      </w:r>
      <w:r>
        <w:rPr>
          <w:rFonts w:hint="default" w:ascii="Times New Roman" w:hAnsi="Times New Roman" w:eastAsia="宋体" w:cs="Times New Roman"/>
          <w:b w:val="0"/>
          <w:kern w:val="2"/>
          <w:sz w:val="24"/>
          <w:szCs w:val="24"/>
          <w:lang w:val="en-US" w:eastAsia="zh-CN" w:bidi="ar"/>
        </w:rPr>
        <w:t>λ</w:t>
      </w:r>
      <w:r>
        <w:rPr>
          <w:rFonts w:hint="eastAsia" w:ascii="宋体" w:hAnsi="宋体" w:eastAsia="宋体" w:cs="宋体"/>
          <w:b w:val="0"/>
          <w:kern w:val="2"/>
          <w:sz w:val="24"/>
          <w:szCs w:val="24"/>
          <w:lang w:val="en-US" w:eastAsia="zh-CN" w:bidi="ar"/>
        </w:rPr>
        <w:t>、</w:t>
      </w:r>
      <w:r>
        <w:rPr>
          <w:rFonts w:hint="default" w:ascii="Times New Roman" w:hAnsi="Times New Roman" w:eastAsia="宋体" w:cs="Times New Roman"/>
          <w:b w:val="0"/>
          <w:kern w:val="2"/>
          <w:sz w:val="24"/>
          <w:szCs w:val="24"/>
          <w:lang w:val="en-US" w:eastAsia="zh-CN" w:bidi="ar"/>
        </w:rPr>
        <w:t>λ</w:t>
      </w:r>
      <w:r>
        <w:rPr>
          <w:rFonts w:hint="eastAsia" w:ascii="宋体" w:hAnsi="宋体" w:eastAsia="宋体" w:cs="宋体"/>
          <w:b w:val="0"/>
          <w:kern w:val="2"/>
          <w:sz w:val="24"/>
          <w:szCs w:val="24"/>
          <w:lang w:val="en-US" w:eastAsia="zh-CN" w:bidi="ar"/>
        </w:rPr>
        <w:t>、</w:t>
      </w:r>
      <w:r>
        <w:rPr>
          <w:rFonts w:hint="default" w:ascii="Times New Roman" w:hAnsi="Times New Roman" w:eastAsia="宋体" w:cs="Times New Roman"/>
          <w:b w:val="0"/>
          <w:kern w:val="2"/>
          <w:sz w:val="24"/>
          <w:szCs w:val="24"/>
          <w:lang w:val="en-US" w:eastAsia="zh-CN" w:bidi="ar"/>
        </w:rPr>
        <w:t>0.5λ</w:t>
      </w:r>
      <w:r>
        <w:rPr>
          <w:rFonts w:hint="eastAsia" w:ascii="宋体" w:hAnsi="宋体" w:eastAsia="宋体" w:cs="宋体"/>
          <w:b w:val="0"/>
          <w:kern w:val="2"/>
          <w:sz w:val="24"/>
          <w:szCs w:val="24"/>
          <w:lang w:val="en-US" w:eastAsia="zh-CN" w:bidi="ar"/>
        </w:rPr>
        <w:t>、</w:t>
      </w:r>
      <w:r>
        <w:rPr>
          <w:rFonts w:hint="default" w:ascii="Times New Roman" w:hAnsi="Times New Roman" w:eastAsia="宋体" w:cs="Times New Roman"/>
          <w:b w:val="0"/>
          <w:kern w:val="2"/>
          <w:sz w:val="24"/>
          <w:szCs w:val="24"/>
          <w:lang w:val="en-US" w:eastAsia="zh-CN" w:bidi="ar"/>
        </w:rPr>
        <w:t>0.25λ</w:t>
      </w:r>
      <w:r>
        <w:t>的内毒素标准溶液，另一列 2 支（管）加入 0.1ml 检查用水作为阴性对照。另外2N 支（管）鲎试剂，每 2 支分别加入 0.1ml 一个浓度的供试品溶液。另 2 支（管）加入 0.1ml 供试品阳性对照溶液作为样品阳性对照。</w:t>
      </w:r>
    </w:p>
    <w:p>
      <w:pPr>
        <w:pStyle w:val="171"/>
      </w:pPr>
    </w:p>
    <w:p>
      <w:pPr>
        <w:pStyle w:val="171"/>
        <w:ind w:left="0" w:leftChars="0" w:firstLine="0" w:firstLineChars="0"/>
      </w:pPr>
      <w:r>
        <w:rPr>
          <w:rFonts w:hint="eastAsia"/>
          <w:b/>
          <w:bCs/>
          <w:lang w:val="en-US" w:eastAsia="zh-CN"/>
        </w:rPr>
        <w:t>7.</w:t>
      </w:r>
      <w:r>
        <w:rPr>
          <w:b/>
          <w:bCs/>
        </w:rPr>
        <w:t>保温：</w:t>
      </w:r>
      <w:r>
        <w:t>将试管中溶液轻轻混匀后，保温 60 分钟±2 分钟。</w:t>
      </w:r>
    </w:p>
    <w:p>
      <w:pPr>
        <w:pStyle w:val="171"/>
      </w:pPr>
    </w:p>
    <w:p>
      <w:pPr>
        <w:pStyle w:val="171"/>
        <w:ind w:left="0" w:leftChars="0" w:firstLine="0" w:firstLineChars="0"/>
      </w:pPr>
    </w:p>
    <w:p>
      <w:pPr>
        <w:pStyle w:val="169"/>
      </w:pPr>
      <w:r>
        <w:t>4.4.2 试验结果计算</w:t>
      </w:r>
    </w:p>
    <w:p>
      <w:pPr>
        <w:pStyle w:val="171"/>
      </w:pPr>
    </w:p>
    <w:p>
      <w:pPr>
        <w:pStyle w:val="171"/>
      </w:pPr>
      <w:r>
        <w:t>如内毒素标准系列最大浓度2λ 均为阳性，最低浓度0.25λ 均为阴性，阴性对照均为阴性，供试品阳性对照为阳性时，按下式计算内毒素标准溶液的反应终点浓度的几何平均值 (λ</w:t>
      </w:r>
      <w:r>
        <w:rPr>
          <w:rFonts w:hint="eastAsia"/>
          <w:lang w:val="en-US" w:eastAsia="zh-CN"/>
        </w:rPr>
        <w:t>t</w:t>
      </w:r>
      <w:r>
        <w:t>) 和供试品溶液每一系列反应终点浓度 c：</w:t>
      </w:r>
    </w:p>
    <w:p>
      <w:pPr>
        <w:pStyle w:val="171"/>
      </w:pPr>
    </w:p>
    <w:p>
      <w:pPr>
        <w:pStyle w:val="172"/>
      </w:pPr>
      <w:r>
        <w:t>λ</w:t>
      </w:r>
      <w:r>
        <w:rPr>
          <w:rFonts w:hint="eastAsia"/>
          <w:lang w:val="en-US" w:eastAsia="zh-CN"/>
        </w:rPr>
        <w:t>t</w:t>
      </w:r>
      <w:r>
        <w:t>=antilg(∑</w:t>
      </w:r>
      <w:r>
        <w:rPr>
          <w:rFonts w:hint="eastAsia"/>
          <w:lang w:val="en-US" w:eastAsia="zh-CN"/>
        </w:rPr>
        <w:t>X</w:t>
      </w:r>
      <w:r>
        <w:t>/2)</w:t>
      </w:r>
    </w:p>
    <w:p>
      <w:pPr>
        <w:pStyle w:val="171"/>
      </w:pPr>
    </w:p>
    <w:p>
      <w:pPr>
        <w:pStyle w:val="172"/>
        <w:rPr>
          <w:rFonts w:hint="eastAsia" w:eastAsia="宋体"/>
          <w:lang w:val="en-US" w:eastAsia="zh-CN"/>
        </w:rPr>
      </w:pPr>
      <w:r>
        <w:t>𝑐=</w:t>
      </w:r>
      <w:r>
        <w:rPr>
          <w:rFonts w:hint="eastAsia"/>
          <w:lang w:val="en-US" w:eastAsia="zh-CN"/>
        </w:rPr>
        <w:t>D</w:t>
      </w:r>
      <w:r>
        <w:t>×λ</w:t>
      </w:r>
      <w:r>
        <w:rPr>
          <w:rFonts w:hint="eastAsia"/>
          <w:lang w:val="en-US" w:eastAsia="zh-CN"/>
        </w:rPr>
        <w:t>C</w:t>
      </w:r>
    </w:p>
    <w:p>
      <w:pPr>
        <w:pStyle w:val="171"/>
        <w:ind w:left="0" w:leftChars="0" w:firstLine="0" w:firstLineChars="0"/>
      </w:pPr>
      <w:r>
        <w:t>​</w:t>
      </w:r>
    </w:p>
    <w:p>
      <w:pPr>
        <w:pStyle w:val="171"/>
      </w:pPr>
      <w:r>
        <w:t>式中：X 为内毒素溶液的反应终点浓度的对数值 (lg)；c 为每个系列的反应终点浓度，即每一系列平行管的终点稀释倍数D 乘以鲎试剂标示灵敏度λ</w:t>
      </w:r>
      <w:r>
        <w:rPr>
          <w:rFonts w:hint="eastAsia"/>
          <w:lang w:val="en-US" w:eastAsia="zh-CN"/>
        </w:rPr>
        <w:t>c</w:t>
      </w:r>
      <w:r>
        <w:t>。如果检验的是稀释过的供试品，则将终点浓度乘以供试品进行半定量试验的初始稀释倍数，即得到每一系列的内毒素浓度c。如一个系列中供试品溶液的结果都为阴性，应记为内毒素浓度c 小于λ（如果检验的是稀释过的供试品，则记录为小于λ× 该供试品的最低稀释倍数）。如果结果都为阳性，应记为内毒素的浓度c 大于或等于最大的稀释倍数乘以λ。</w:t>
      </w:r>
    </w:p>
    <w:p>
      <w:pPr>
        <w:pStyle w:val="171"/>
      </w:pPr>
    </w:p>
    <w:p>
      <w:pPr>
        <w:pStyle w:val="169"/>
      </w:pPr>
      <w:r>
        <w:t>4.4.3 结果判断</w:t>
      </w:r>
    </w:p>
    <w:p>
      <w:pPr>
        <w:pStyle w:val="171"/>
        <w:ind w:left="0" w:leftChars="0" w:firstLine="0" w:firstLineChars="0"/>
      </w:pPr>
      <w:r>
        <w:rPr>
          <w:rFonts w:hint="eastAsia"/>
        </w:rPr>
        <w:t>凝胶半定量试验中，出现怎样的结果，我们才认为试验为有效</w:t>
      </w:r>
      <w:r>
        <w:rPr>
          <w:rFonts w:hint="eastAsia"/>
          <w:lang w:eastAsia="zh-CN"/>
        </w:rPr>
        <w:t>：</w:t>
      </w:r>
      <w:bookmarkStart w:id="0" w:name="_GoBack"/>
      <w:bookmarkEnd w:id="0"/>
      <w:r>
        <w:t>当λc在0.5λ∼2λ 之间，试验方为有效。若每一系列内毒素浓度c 均小于规定的限值，判定供试品符合规定。供试品溶液的内毒素浓度为每一系列内毒素浓度的几何平均值，即按公式c=antilg(∑lgc/2) 计算。若任何系列内毒素浓度不小于规定的限值，则判定供试品不符合规定。不必计算供试品的内毒素浓度。</w:t>
      </w:r>
    </w:p>
    <w:p>
      <w:pPr>
        <w:pStyle w:val="171"/>
      </w:pPr>
    </w:p>
    <w:p>
      <w:pPr>
        <w:pStyle w:val="171"/>
      </w:pPr>
    </w:p>
    <w:p>
      <w:pPr>
        <w:pStyle w:val="171"/>
        <w:ind w:left="0" w:leftChars="0" w:firstLine="0" w:firstLineChars="0"/>
      </w:pPr>
    </w:p>
    <w:p>
      <w:pPr>
        <w:pStyle w:val="169"/>
      </w:pPr>
      <w:r>
        <w:t>4.4.4 举例</w:t>
      </w:r>
    </w:p>
    <w:p>
      <w:pPr>
        <w:pStyle w:val="171"/>
      </w:pPr>
      <w:r>
        <w:t>设供试品为某注射液，干扰试验已确定其最小不干扰稀释倍数为 20 倍，其内毒素限值为 10 EU/ml，现使用灵敏度为 0.03 EU/ml 的鲎试剂检测供试品中的内毒素含量。</w:t>
      </w:r>
    </w:p>
    <w:p>
      <w:pPr>
        <w:pStyle w:val="172"/>
      </w:pPr>
      <w:r>
        <w:t>MVD=c⋅L/λ=10/0.03≈320 倍</w:t>
      </w:r>
    </w:p>
    <w:p>
      <w:pPr>
        <w:pStyle w:val="171"/>
      </w:pPr>
      <w:r>
        <w:t>将供试品溶液先稀释至 20 倍后，再进行对倍稀释。将 20 倍稀释液再稀释 2、4、8、16 倍，同时制备内毒素标准系列。</w:t>
      </w:r>
    </w:p>
    <w:p>
      <w:pPr>
        <w:pStyle w:val="171"/>
      </w:pPr>
    </w:p>
    <w:p>
      <w:pPr>
        <w:pStyle w:val="172"/>
      </w:pPr>
      <w:r>
        <w:t>λc=antilg(∑X/2)=antilg[(lg0.0625+lg0.0625)/2]=0.0625(EU/ml)</w:t>
      </w:r>
    </w:p>
    <w:p>
      <w:pPr>
        <w:pStyle w:val="171"/>
      </w:pPr>
    </w:p>
    <w:p>
      <w:pPr>
        <w:pStyle w:val="172"/>
        <w:jc w:val="both"/>
      </w:pPr>
      <w:r>
        <w:t>λc在0.5λ∼2λ 之间，试验为有效。</w:t>
      </w:r>
    </w:p>
    <w:p>
      <w:pPr>
        <w:pStyle w:val="171"/>
        <w:ind w:left="0" w:leftChars="0" w:firstLine="0" w:firstLineChars="0"/>
      </w:pPr>
      <w:r>
        <w:t>由于供试品先被稀释了 20 倍，因此供试品每一系列的内毒素浓度分别为</w:t>
      </w:r>
    </w:p>
    <w:p>
      <w:pPr>
        <w:pStyle w:val="171"/>
        <w:ind w:left="0" w:leftChars="0" w:firstLine="0" w:firstLineChars="0"/>
      </w:pPr>
      <w:r>
        <w:rPr>
          <w:rFonts w:hint="eastAsia"/>
          <w:lang w:val="en-US" w:eastAsia="zh-CN"/>
        </w:rPr>
        <w:t>C1</w:t>
      </w:r>
      <w:r>
        <w:t>=0.24×20=4.8 EU/ml 和</w:t>
      </w:r>
      <w:r>
        <w:rPr>
          <w:rFonts w:hint="eastAsia"/>
          <w:lang w:val="en-US" w:eastAsia="zh-CN"/>
        </w:rPr>
        <w:t>C2</w:t>
      </w:r>
      <w:r>
        <w:t>=0.12×20=2.4 EU/ml。因为每一系列内毒素浓度均小于规定的限值，由此判定此批注射液内毒素检查符合规定。</w:t>
      </w:r>
    </w:p>
    <w:p>
      <w:pPr>
        <w:pStyle w:val="171"/>
      </w:pPr>
      <w:r>
        <w:t>计算注射液中的内毒素浓度为：</w:t>
      </w:r>
    </w:p>
    <w:p>
      <w:pPr>
        <w:pStyle w:val="172"/>
      </w:pPr>
      <w:r>
        <w:rPr>
          <w:rFonts w:hint="eastAsia"/>
          <w:lang w:val="en-US" w:eastAsia="zh-CN"/>
        </w:rPr>
        <w:t>Ce</w:t>
      </w:r>
      <w:r>
        <w:t>=antilg(∑lgc/2)=antilg((lg4.8+lg2.4)/2)=3.40EU/ml</w:t>
      </w:r>
    </w:p>
    <w:p>
      <w:pPr>
        <w:pStyle w:val="171"/>
      </w:pPr>
    </w:p>
    <w:p>
      <w:pPr>
        <w:pStyle w:val="167"/>
      </w:pPr>
      <w:r>
        <w:t>5 光度法操作方法</w:t>
      </w:r>
    </w:p>
    <w:p>
      <w:pPr>
        <w:pStyle w:val="168"/>
        <w:rPr>
          <w:rFonts w:hint="eastAsia" w:eastAsia="宋体"/>
          <w:lang w:val="en-US" w:eastAsia="zh-CN"/>
        </w:rPr>
      </w:pPr>
      <w:r>
        <w:t>5.</w:t>
      </w:r>
      <w:r>
        <w:rPr>
          <w:rFonts w:hint="eastAsia"/>
          <w:lang w:val="en-US" w:eastAsia="zh-CN"/>
        </w:rPr>
        <w:t>0</w:t>
      </w:r>
      <w:r>
        <w:t xml:space="preserve"> </w:t>
      </w:r>
      <w:r>
        <w:rPr>
          <w:b/>
          <w:bCs/>
        </w:rPr>
        <w:t>光度测定法</w:t>
      </w:r>
      <w:r>
        <w:rPr>
          <w:rFonts w:hint="eastAsia"/>
          <w:b/>
          <w:bCs/>
          <w:lang w:val="en-US" w:eastAsia="zh-CN"/>
        </w:rPr>
        <w:t>的分类</w:t>
      </w:r>
    </w:p>
    <w:p>
      <w:pPr>
        <w:pStyle w:val="171"/>
      </w:pPr>
      <w:r>
        <w:rPr>
          <w:b/>
          <w:bCs/>
        </w:rPr>
        <w:t>光度测定法</w:t>
      </w:r>
      <w:r>
        <w:rPr>
          <w:rFonts w:hint="eastAsia"/>
          <w:b/>
          <w:bCs/>
          <w:lang w:val="en-US" w:eastAsia="zh-CN"/>
        </w:rPr>
        <w:t>的分类：</w:t>
      </w:r>
      <w:r>
        <w:t>光度测定法分为浊度法和显色基质法。</w:t>
      </w:r>
      <w:r>
        <w:rPr>
          <w:rFonts w:hint="eastAsia"/>
          <w:lang w:val="en-US" w:eastAsia="zh-CN"/>
        </w:rPr>
        <w:t>其中</w:t>
      </w:r>
      <w:r>
        <w:t>浊度法</w:t>
      </w:r>
      <w:r>
        <w:rPr>
          <w:rFonts w:hint="eastAsia"/>
          <w:lang w:val="en-US" w:eastAsia="zh-CN"/>
        </w:rPr>
        <w:t>是指</w:t>
      </w:r>
      <w:r>
        <w:t>系利用检测鲎试剂与内毒素反应过程中浊度变化而测定内毒素含量的方法。根据检测原理，可分为终点浊度法和动态浊度法。显色基质法</w:t>
      </w:r>
      <w:r>
        <w:rPr>
          <w:rFonts w:hint="eastAsia"/>
          <w:lang w:val="en-US" w:eastAsia="zh-CN"/>
        </w:rPr>
        <w:t>是指</w:t>
      </w:r>
      <w:r>
        <w:t>系利用检测鲎试剂与内毒素反应过程中产生的凝固酶使特殊底物释放出呈色团的多少而测定内毒素含量的方法。根据检测原理，分为终点显色法和动态显色法。</w:t>
      </w:r>
    </w:p>
    <w:p>
      <w:pPr>
        <w:pStyle w:val="171"/>
      </w:pPr>
    </w:p>
    <w:p>
      <w:pPr>
        <w:pStyle w:val="171"/>
      </w:pPr>
    </w:p>
    <w:p>
      <w:pPr>
        <w:pStyle w:val="171"/>
      </w:pPr>
    </w:p>
    <w:p>
      <w:pPr>
        <w:pStyle w:val="171"/>
      </w:pPr>
    </w:p>
    <w:p>
      <w:pPr>
        <w:pStyle w:val="168"/>
      </w:pPr>
      <w:r>
        <w:t>5.1 仪器的设置</w:t>
      </w:r>
    </w:p>
    <w:p>
      <w:pPr>
        <w:pStyle w:val="168"/>
        <w:rPr>
          <w:rFonts w:hint="eastAsia"/>
          <w:lang w:eastAsia="zh-CN"/>
        </w:rPr>
      </w:pPr>
    </w:p>
    <w:p>
      <w:pPr>
        <w:pStyle w:val="171"/>
      </w:pPr>
      <w:r>
        <w:t>光度测定法</w:t>
      </w:r>
      <w:r>
        <w:rPr>
          <w:rFonts w:hint="eastAsia"/>
          <w:lang w:val="en-US" w:eastAsia="zh-CN"/>
        </w:rPr>
        <w:t>的实验准备：</w:t>
      </w:r>
      <w:r>
        <w:t>在试验开始前，应根据仪器的说明和试验的设计设定反应时间、反应温度（一般为 37℃±1℃）、检测波长等相关系数。供试品和鲎试剂的分装加样量、供试品和鲎试剂的比例以及保温时间等，需参照所用仪器和试剂的有关说明进行。</w:t>
      </w:r>
    </w:p>
    <w:p>
      <w:pPr>
        <w:pStyle w:val="171"/>
      </w:pPr>
    </w:p>
    <w:p>
      <w:pPr>
        <w:pStyle w:val="168"/>
      </w:pPr>
      <w:r>
        <w:t>5.2 标准曲线的可靠性试验</w:t>
      </w:r>
    </w:p>
    <w:p>
      <w:pPr>
        <w:pStyle w:val="171"/>
      </w:pPr>
    </w:p>
    <w:p>
      <w:pPr>
        <w:pStyle w:val="171"/>
      </w:pPr>
      <w:r>
        <w:rPr>
          <w:rFonts w:hint="eastAsia"/>
          <w:lang w:val="en-US" w:eastAsia="zh-CN"/>
        </w:rPr>
        <w:t>额外说明：</w:t>
      </w:r>
      <w:r>
        <w:t>当使用新批号的鲎试剂或试验条件发生了任何可能会影响检验结果的改变时，需进行标准曲线的可靠性试验。</w:t>
      </w:r>
    </w:p>
    <w:p>
      <w:pPr>
        <w:pStyle w:val="171"/>
      </w:pPr>
    </w:p>
    <w:p>
      <w:pPr>
        <w:pStyle w:val="169"/>
      </w:pPr>
      <w:r>
        <w:t>5.2.1 光度法操作方法试验操作</w:t>
      </w:r>
    </w:p>
    <w:p>
      <w:pPr>
        <w:pStyle w:val="171"/>
      </w:pPr>
    </w:p>
    <w:p>
      <w:pPr>
        <w:pStyle w:val="171"/>
      </w:pPr>
      <w:r>
        <w:rPr>
          <w:rFonts w:hint="eastAsia"/>
          <w:lang w:val="en-US" w:eastAsia="zh-CN"/>
        </w:rPr>
        <w:t>1.</w:t>
      </w:r>
      <w:r>
        <w:t>细菌内毒素标准溶液的制备：用检查用水将一支内毒素标准品溶解稀释，并制成至少 3 个浓度的稀释液（相邻浓度间稀释倍数不得大于 10），最低浓度不得低于所用鲎试剂的标示检测限。稀释操作方法同凝胶法。</w:t>
      </w:r>
    </w:p>
    <w:p>
      <w:pPr>
        <w:pStyle w:val="171"/>
      </w:pPr>
    </w:p>
    <w:p>
      <w:pPr>
        <w:pStyle w:val="171"/>
      </w:pPr>
      <w:r>
        <w:rPr>
          <w:rFonts w:hint="eastAsia"/>
          <w:lang w:val="en-US" w:eastAsia="zh-CN"/>
        </w:rPr>
        <w:t>2.</w:t>
      </w:r>
      <w:r>
        <w:t>鲎试剂的准备：要求内毒素标准系列中每一浓度至少做 3 支平行管，并要求同时做 2 支阴性对照。根据所制备的标准曲线中浓度的个数来计算所需要的鲎试剂体积。光度法鲎试剂都为 0.5ml 以上装量，在溶解后需将所有鲎试剂混合在一起，备用。</w:t>
      </w:r>
    </w:p>
    <w:p>
      <w:pPr>
        <w:pStyle w:val="171"/>
      </w:pPr>
    </w:p>
    <w:p>
      <w:pPr>
        <w:pStyle w:val="171"/>
      </w:pPr>
      <w:r>
        <w:rPr>
          <w:rFonts w:hint="eastAsia"/>
          <w:lang w:val="en-US" w:eastAsia="zh-CN"/>
        </w:rPr>
        <w:t>3.</w:t>
      </w:r>
      <w:r>
        <w:t>加样：将标准内毒素溶液和阴性对照按仪器要求的体积分装到仪器配置的反应容器中，如小试管或微孔板。再加入要求体积的鲎试剂，轻轻混匀，避免产生气泡，然后将反应容器放入光度测定仪中进行反应。</w:t>
      </w:r>
    </w:p>
    <w:p>
      <w:pPr>
        <w:pStyle w:val="171"/>
      </w:pPr>
    </w:p>
    <w:p>
      <w:pPr>
        <w:pStyle w:val="171"/>
      </w:pPr>
    </w:p>
    <w:p>
      <w:pPr>
        <w:pStyle w:val="169"/>
      </w:pPr>
      <w:r>
        <w:t>5.2.2 光度法操作方法</w:t>
      </w:r>
      <w:r>
        <w:rPr>
          <w:rFonts w:hint="eastAsia"/>
          <w:lang w:val="en-US" w:eastAsia="zh-CN"/>
        </w:rPr>
        <w:t>的</w:t>
      </w:r>
      <w:r>
        <w:t>结果判断</w:t>
      </w:r>
    </w:p>
    <w:p>
      <w:pPr>
        <w:pStyle w:val="169"/>
      </w:pPr>
    </w:p>
    <w:p>
      <w:pPr>
        <w:pStyle w:val="171"/>
      </w:pPr>
      <w:r>
        <w:t>当阴性对照内毒素的检测值小于标准曲线最低点的检测值或反应时间大于标准曲线最低点的反应时间，将全部数据进行线性回归分析。根据线性回归分析，标准曲线的相关系数 (r) 的绝对值应大于或等于 0.980，试验方为有效。否则须重新试验。</w:t>
      </w:r>
    </w:p>
    <w:p>
      <w:pPr>
        <w:pStyle w:val="171"/>
      </w:pPr>
    </w:p>
    <w:p>
      <w:pPr>
        <w:pStyle w:val="168"/>
      </w:pPr>
      <w:r>
        <w:t>5.3 光度法操作方法</w:t>
      </w:r>
      <w:r>
        <w:rPr>
          <w:rFonts w:hint="eastAsia"/>
          <w:lang w:val="en-US" w:eastAsia="zh-CN"/>
        </w:rPr>
        <w:t>的</w:t>
      </w:r>
      <w:r>
        <w:t>干扰试验</w:t>
      </w:r>
    </w:p>
    <w:p>
      <w:pPr>
        <w:pStyle w:val="171"/>
      </w:pPr>
    </w:p>
    <w:p>
      <w:pPr>
        <w:pStyle w:val="171"/>
      </w:pPr>
      <w:r>
        <w:t>干扰试验的目的同凝胶法干扰试验。当鲎试剂、供试品的来源、配方、生产工艺改变或试验环境中发生了任何有可能影响试验结果的变化时，须重新进行干扰试验。</w:t>
      </w:r>
    </w:p>
    <w:p>
      <w:pPr>
        <w:pStyle w:val="171"/>
        <w:ind w:left="0" w:leftChars="0" w:firstLine="0" w:firstLineChars="0"/>
      </w:pPr>
    </w:p>
    <w:p>
      <w:pPr>
        <w:pStyle w:val="169"/>
      </w:pPr>
      <w:r>
        <w:t>5.3.1 试验操作</w:t>
      </w:r>
    </w:p>
    <w:p>
      <w:pPr>
        <w:pStyle w:val="171"/>
      </w:pPr>
    </w:p>
    <w:p>
      <w:pPr>
        <w:pStyle w:val="171"/>
      </w:pPr>
      <w:r>
        <w:rPr>
          <w:rFonts w:hint="eastAsia"/>
          <w:lang w:val="en-US" w:eastAsia="zh-CN"/>
        </w:rPr>
        <w:t>1.</w:t>
      </w:r>
      <w:r>
        <w:t>曲线的制备：用检查用水将一支内毒素标准品溶解稀释，并制成至少 3 个浓度的稀释液（相邻浓度间稀释倍数不得大于 10），最低浓度不得低于所用鲎试剂的标示检测限。稀释操作方法同凝胶法。</w:t>
      </w:r>
    </w:p>
    <w:p>
      <w:pPr>
        <w:pStyle w:val="171"/>
      </w:pPr>
      <w:r>
        <w:rPr>
          <w:rFonts w:hint="eastAsia"/>
          <w:lang w:val="en-US" w:eastAsia="zh-CN"/>
        </w:rPr>
        <w:t>2.</w:t>
      </w:r>
      <w:r>
        <w:t>供试品准备：将供试品进行一系列的稀释，但不得超过 MVD。选择标准曲线中点或一个靠近中点的内毒素浓度，设为λm，作为添加到供试品中的标准内毒素浓度。</w:t>
      </w:r>
    </w:p>
    <w:p>
      <w:pPr>
        <w:pStyle w:val="171"/>
      </w:pPr>
      <w:r>
        <w:rPr>
          <w:rFonts w:hint="eastAsia"/>
          <w:lang w:val="en-US" w:eastAsia="zh-CN"/>
        </w:rPr>
        <w:t>3.</w:t>
      </w:r>
      <w:r>
        <w:t>鲎试剂的准备：根据标准曲线及供试品浓度个数来计算所需要的鲎试剂体积。鲎试剂溶解后需将所有试剂混合在一起，备用。</w:t>
      </w:r>
    </w:p>
    <w:p>
      <w:pPr>
        <w:pStyle w:val="171"/>
      </w:pPr>
      <w:r>
        <w:rPr>
          <w:rFonts w:hint="eastAsia"/>
          <w:lang w:val="en-US" w:eastAsia="zh-CN"/>
        </w:rPr>
        <w:t>4.</w:t>
      </w:r>
      <w:r>
        <w:t>加样：标准曲线每个浓度不少于 2 支平行管，供试品每个浓度不少于 2 支平行管，同时供试品每个浓度的样品阳性对照也不少于 2 支平行管。并用检查用水制备 2 支阴性对照。</w:t>
      </w:r>
    </w:p>
    <w:p>
      <w:pPr>
        <w:pStyle w:val="171"/>
        <w:ind w:left="0" w:leftChars="0" w:firstLine="0" w:firstLineChars="0"/>
      </w:pPr>
    </w:p>
    <w:p>
      <w:pPr>
        <w:pStyle w:val="169"/>
      </w:pPr>
      <w:r>
        <w:t>5.3.2 试验结果计算</w:t>
      </w:r>
    </w:p>
    <w:p>
      <w:pPr>
        <w:pStyle w:val="171"/>
      </w:pPr>
      <w:r>
        <w:t>当反应完毕后，仪器自动生成标准曲线并按所得线性回归方程分别计算出供试品溶液和含标准内毒素的供试品溶液的内毒素含量</w:t>
      </w:r>
    </w:p>
    <w:p>
      <w:pPr>
        <w:pStyle w:val="172"/>
        <w:jc w:val="both"/>
      </w:pPr>
      <w:r>
        <w:t>ct和cs，按下式计算供试品每一浓度的回收率 (R)：</w:t>
      </w:r>
    </w:p>
    <w:p>
      <w:pPr>
        <w:pStyle w:val="171"/>
        <w:ind w:left="0" w:leftChars="0" w:firstLine="3120" w:firstLineChars="1300"/>
      </w:pPr>
      <w:r>
        <w:rPr>
          <w:rFonts w:hint="eastAsia"/>
          <w:lang w:val="en-US" w:eastAsia="zh-CN"/>
        </w:rPr>
        <w:t>R</w:t>
      </w:r>
      <w:r>
        <w:t>=(</w:t>
      </w:r>
      <w:r>
        <w:rPr>
          <w:rFonts w:hint="eastAsia"/>
          <w:lang w:val="en-US" w:eastAsia="zh-CN"/>
        </w:rPr>
        <w:t>Cs-Ct</w:t>
      </w:r>
      <w:r>
        <w:t>)/λm</w:t>
      </w:r>
      <w:r>
        <w:rPr>
          <w:rFonts w:hint="eastAsia"/>
          <w:lang w:val="en-US" w:eastAsia="zh-CN"/>
        </w:rPr>
        <w:t xml:space="preserve">  </w:t>
      </w:r>
      <w:r>
        <w:t>×100%</w:t>
      </w:r>
    </w:p>
    <w:p>
      <w:pPr>
        <w:pStyle w:val="172"/>
        <w:ind w:left="2160" w:leftChars="0" w:firstLine="720" w:firstLineChars="0"/>
        <w:jc w:val="both"/>
        <w:rPr>
          <w:rFonts w:hint="default" w:eastAsia="宋体"/>
          <w:lang w:val="en-US" w:eastAsia="zh-CN"/>
        </w:rPr>
      </w:pPr>
    </w:p>
    <w:p>
      <w:pPr>
        <w:pStyle w:val="171"/>
      </w:pPr>
      <w:r>
        <w:t>​</w:t>
      </w:r>
    </w:p>
    <w:p>
      <w:pPr>
        <w:pStyle w:val="169"/>
      </w:pPr>
      <w:r>
        <w:t>5.3.3 结果判断</w:t>
      </w:r>
    </w:p>
    <w:p>
      <w:pPr>
        <w:pStyle w:val="171"/>
        <w:ind w:left="0" w:leftChars="0" w:firstLine="0" w:firstLineChars="0"/>
      </w:pPr>
    </w:p>
    <w:p>
      <w:pPr>
        <w:pStyle w:val="171"/>
        <w:ind w:left="0" w:leftChars="0" w:firstLine="0" w:firstLineChars="0"/>
      </w:pPr>
      <w:r>
        <w:rPr>
          <w:rFonts w:hint="eastAsia"/>
          <w:lang w:val="en-US" w:eastAsia="zh-CN"/>
        </w:rPr>
        <w:t>情况1：</w:t>
      </w:r>
      <w:r>
        <w:t>当阴性对照的检测值小于标准曲线最低点的检测值或反应时间大于标准曲线最低浓度的反应时间，标准曲线的相关系数 (r) 的绝对值应大于或等于 0.980，试验有效。</w:t>
      </w:r>
    </w:p>
    <w:p>
      <w:pPr>
        <w:pStyle w:val="171"/>
        <w:ind w:left="0" w:leftChars="0" w:firstLine="0" w:firstLineChars="0"/>
      </w:pPr>
      <w:r>
        <w:rPr>
          <w:rFonts w:hint="eastAsia"/>
          <w:lang w:val="en-US" w:eastAsia="zh-CN"/>
        </w:rPr>
        <w:t>情况2：</w:t>
      </w:r>
      <w:r>
        <w:t>当供试品的内毒素的回收率在 50%~200% 之间时，则认为在此浓度下供试品溶液不存在干扰作用。</w:t>
      </w:r>
    </w:p>
    <w:p>
      <w:pPr>
        <w:pStyle w:val="171"/>
        <w:ind w:left="0" w:leftChars="0" w:firstLine="0" w:firstLineChars="0"/>
      </w:pPr>
      <w:r>
        <w:rPr>
          <w:rFonts w:hint="eastAsia"/>
          <w:lang w:val="en-US" w:eastAsia="zh-CN"/>
        </w:rPr>
        <w:t>情况3：</w:t>
      </w:r>
      <w:r>
        <w:t>当供试品系列的内毒素的回收率都不在指定的范围内，可重新制备比最低浓度 (λ) 更低的标准曲线，从而提高 MVD，将供试品进行更大倍数的稀释来排除干扰。或按“凝胶法干扰试验”中提及的其他适宜方法去除干扰因素，并要重复干扰试验来验证处理的有效性。</w:t>
      </w:r>
    </w:p>
    <w:p>
      <w:pPr>
        <w:pStyle w:val="171"/>
      </w:pPr>
    </w:p>
    <w:p>
      <w:pPr>
        <w:pStyle w:val="168"/>
      </w:pPr>
      <w:r>
        <w:t>5.4 供试品细菌内毒素检查</w:t>
      </w:r>
    </w:p>
    <w:p>
      <w:pPr>
        <w:pStyle w:val="171"/>
      </w:pPr>
    </w:p>
    <w:p>
      <w:pPr>
        <w:pStyle w:val="169"/>
      </w:pPr>
      <w:r>
        <w:t>5.4.1 试验操作</w:t>
      </w:r>
    </w:p>
    <w:p>
      <w:pPr>
        <w:pStyle w:val="171"/>
      </w:pPr>
    </w:p>
    <w:p>
      <w:pPr>
        <w:pStyle w:val="30"/>
        <w:keepNext w:val="0"/>
        <w:keepLines w:val="0"/>
        <w:widowControl/>
        <w:suppressLineNumbers w:val="0"/>
        <w:spacing w:before="0" w:beforeAutospacing="1" w:after="120" w:afterAutospacing="0" w:line="360" w:lineRule="auto"/>
        <w:ind w:left="0" w:right="0" w:firstLine="420"/>
        <w:jc w:val="left"/>
      </w:pPr>
      <w:r>
        <w:rPr>
          <w:rFonts w:hint="eastAsia"/>
          <w:lang w:val="en-US" w:eastAsia="zh-CN"/>
        </w:rPr>
        <w:t>1.</w:t>
      </w:r>
      <w:r>
        <w:t>标准曲线的制备：</w:t>
      </w:r>
      <w:r>
        <w:rPr>
          <w:rFonts w:hint="eastAsia" w:ascii="宋体" w:hAnsi="宋体" w:eastAsia="宋体" w:cs="宋体"/>
          <w:b w:val="0"/>
          <w:kern w:val="0"/>
          <w:sz w:val="24"/>
          <w:szCs w:val="24"/>
          <w:lang w:val="en-US" w:eastAsia="zh-CN" w:bidi="ar"/>
        </w:rPr>
        <w:t>用检查用水将一支内毒素标准品溶解稀释，并制成至少</w:t>
      </w:r>
      <w:r>
        <w:rPr>
          <w:rFonts w:hint="default" w:ascii="Times New Roman" w:hAnsi="Times New Roman" w:eastAsia="宋体" w:cs="Times New Roman"/>
          <w:b w:val="0"/>
          <w:kern w:val="0"/>
          <w:sz w:val="24"/>
          <w:szCs w:val="24"/>
          <w:lang w:val="en-US" w:eastAsia="zh-CN" w:bidi="ar"/>
        </w:rPr>
        <w:t xml:space="preserve"> 3 </w:t>
      </w:r>
      <w:r>
        <w:rPr>
          <w:rFonts w:hint="eastAsia" w:ascii="宋体" w:hAnsi="宋体" w:eastAsia="宋体" w:cs="宋体"/>
          <w:b w:val="0"/>
          <w:kern w:val="0"/>
          <w:sz w:val="24"/>
          <w:szCs w:val="24"/>
          <w:lang w:val="en-US" w:eastAsia="zh-CN" w:bidi="ar"/>
        </w:rPr>
        <w:t xml:space="preserve">个浓度的稀释液（相邻浓度间稀释倍数不得大于 </w:t>
      </w:r>
      <w:r>
        <w:rPr>
          <w:rFonts w:hint="default" w:ascii="Times New Roman" w:hAnsi="Times New Roman" w:eastAsia="宋体" w:cs="Times New Roman"/>
          <w:b w:val="0"/>
          <w:kern w:val="0"/>
          <w:sz w:val="24"/>
          <w:szCs w:val="24"/>
          <w:lang w:val="en-US" w:eastAsia="zh-CN" w:bidi="ar"/>
        </w:rPr>
        <w:t>10</w:t>
      </w:r>
      <w:r>
        <w:rPr>
          <w:rFonts w:hint="eastAsia" w:ascii="宋体" w:hAnsi="宋体" w:eastAsia="宋体" w:cs="宋体"/>
          <w:b w:val="0"/>
          <w:kern w:val="0"/>
          <w:sz w:val="24"/>
          <w:szCs w:val="24"/>
          <w:lang w:val="en-US" w:eastAsia="zh-CN" w:bidi="ar"/>
        </w:rPr>
        <w:t>），最低浓度不得低于所用鲎试剂的标示检测限。稀释操作方法同凝胶法。</w:t>
      </w:r>
    </w:p>
    <w:p>
      <w:pPr>
        <w:pStyle w:val="171"/>
      </w:pPr>
      <w:r>
        <w:rPr>
          <w:rFonts w:hint="eastAsia"/>
          <w:lang w:val="en-US" w:eastAsia="zh-CN"/>
        </w:rPr>
        <w:t>2.</w:t>
      </w:r>
      <w:r>
        <w:t>供试品准备：将供试品稀释至一个已证实无干扰作用的浓度，并同时制备该浓度下的供试品阳性对照。</w:t>
      </w:r>
    </w:p>
    <w:p>
      <w:pPr>
        <w:pStyle w:val="171"/>
      </w:pPr>
      <w:r>
        <w:rPr>
          <w:rFonts w:hint="eastAsia"/>
          <w:lang w:val="en-US" w:eastAsia="zh-CN"/>
        </w:rPr>
        <w:t>3.</w:t>
      </w:r>
      <w:r>
        <w:t>鲎试剂的准备及加样：标准曲线每个浓度不少于 2 支平行管，供试品不少于 2 支平行管，供试品阳性对照也不少于 2 支平行管。并用检查用水做 2 支阴性对照。将标准内毒素溶液、供试品、供试品阳性对照和阴性对照按仪器要求的体积分装到仪器配置的反应容器中，再将鲎试剂也按要求的体积加入到反应容器中，轻轻混匀，避免产生气泡，然后将反应容器放入光度测定仪中进行反应。</w:t>
      </w:r>
    </w:p>
    <w:p>
      <w:pPr>
        <w:pStyle w:val="171"/>
      </w:pPr>
    </w:p>
    <w:p>
      <w:pPr>
        <w:pStyle w:val="169"/>
      </w:pPr>
      <w:r>
        <w:t>5.4.2 结果判断</w:t>
      </w:r>
    </w:p>
    <w:p>
      <w:pPr>
        <w:pStyle w:val="169"/>
      </w:pPr>
    </w:p>
    <w:p>
      <w:pPr>
        <w:pStyle w:val="171"/>
      </w:pPr>
      <w:r>
        <w:t>当反应完毕后，使用标准曲线来计算供试品的每一个平行管的内毒素浓度。试验必须符合以下三个条件方为有效：</w:t>
      </w:r>
    </w:p>
    <w:p>
      <w:pPr>
        <w:pStyle w:val="171"/>
      </w:pPr>
      <w:r>
        <w:rPr>
          <w:rFonts w:hint="eastAsia"/>
          <w:lang w:val="en-US" w:eastAsia="zh-CN"/>
        </w:rPr>
        <w:t>1.</w:t>
      </w:r>
      <w:r>
        <w:t>标准曲线的结果要符合“标准曲线的可靠性试验”中的要求。</w:t>
      </w:r>
    </w:p>
    <w:p>
      <w:pPr>
        <w:pStyle w:val="171"/>
      </w:pPr>
      <w:r>
        <w:rPr>
          <w:rFonts w:hint="eastAsia"/>
          <w:lang w:val="en-US" w:eastAsia="zh-CN"/>
        </w:rPr>
        <w:t>2.</w:t>
      </w:r>
      <w:r>
        <w:t>该浓度下的内毒素回收率要在 50%~200% 的范围内。</w:t>
      </w:r>
    </w:p>
    <w:p>
      <w:pPr>
        <w:pStyle w:val="171"/>
      </w:pPr>
      <w:r>
        <w:rPr>
          <w:rFonts w:hint="eastAsia"/>
          <w:lang w:val="en-US" w:eastAsia="zh-CN"/>
        </w:rPr>
        <w:t>3.</w:t>
      </w:r>
      <w:r>
        <w:t>阴性对照的检测值小于标准曲线最低点的检测值或反应时间大于标准曲线最低点的反应时间。</w:t>
      </w:r>
    </w:p>
    <w:p>
      <w:pPr>
        <w:pStyle w:val="171"/>
      </w:pPr>
      <w:r>
        <w:rPr>
          <w:rFonts w:hint="eastAsia"/>
          <w:lang w:val="en-US" w:eastAsia="zh-CN"/>
        </w:rPr>
        <w:t>判断标准：</w:t>
      </w:r>
      <w:r>
        <w:t>若供试品溶液所有平行管的平均内毒素浓度乘以稀释倍数后，小于规定的内毒素限值，判供试品符合规定。若大于或等于规定的内毒素限值，判供试品不符合规定。</w:t>
      </w:r>
    </w:p>
    <w:p>
      <w:pPr>
        <w:pStyle w:val="171"/>
      </w:pPr>
    </w:p>
    <w:p>
      <w:pPr>
        <w:pStyle w:val="167"/>
      </w:pPr>
      <w:r>
        <w:t>6 注意事项</w:t>
      </w:r>
    </w:p>
    <w:p>
      <w:pPr>
        <w:pStyle w:val="171"/>
      </w:pPr>
    </w:p>
    <w:p>
      <w:pPr>
        <w:pStyle w:val="171"/>
      </w:pPr>
      <w:r>
        <w:t>实验操作应在清洁环境中进行，过程中应防止内毒素的污染。在使用洗耳球、移液管取样时，应注意不要将洗耳球中的气体吹入溶液中，以防止气体中的内毒素进入供试液。溶解鲎试剂及混匀供试品和鲎试剂时，不要剧烈振荡避免产生气泡。由于凝集反应是不可逆的，所以在反应过程中及观察结果时应注意不要使试管受到振动，以免使凝胶破碎产生假阴性结果。进行干扰实验时，标准对照系列和含内毒素的供试品溶液系列应同时进行。在进行鲎试剂灵敏度复核、干扰实验和供试品细菌内毒素检查时，各个实验中要求的对照应同时进行，并在实验有效的情况下才能进行计算和判断。有些供试品在使用非简化法制备供试品阳性对照时结果是存在干扰作用的，但是如果使用简化法则结果表现为无干扰，说明使用简化法会掩盖供试品的干扰作用，这样的供试品不适合使用简化法。供试品阳性对照能否采用简化法，应根据具体品种进行验证。玻璃器皿的洗涤：将玻璃器皿放入铬酸洗液或其他热原灭活剂或清洗液中充分浸泡，然后取出将洗液晾干，用自来水将残留洗液彻底洗净，再用蒸馏水反复冲洗三遍以上，晾干后放入适宜的密闭金属容器中或用锡箔纸包好后再放入金属容器内，放置入烤箱。</w:t>
      </w:r>
    </w:p>
    <w:p>
      <w:pPr>
        <w:pStyle w:val="171"/>
        <w:ind w:left="0" w:leftChars="0" w:firstLine="0" w:firstLineChars="0"/>
      </w:pPr>
      <w:r>
        <w:t>耐热器皿外源性内毒素的去除：将洁净干燥的器皿放入适宜的密闭金属容器中或用锡箔纸包好后再放入金属容器内，放置入电热干燥箱。将干燥箱调至 250℃，待干燥箱温度升至设定的温度后开始计时，250℃ 干烤 30 分钟以上。达到规定时间后，关闭电源待干燥箱温度自然降至室温后使用。</w:t>
      </w:r>
    </w:p>
    <w:p>
      <w:pPr>
        <w:pStyle w:val="171"/>
      </w:pPr>
    </w:p>
    <w:p>
      <w:pPr>
        <w:pStyle w:val="171"/>
        <w:ind w:left="0" w:leftChars="0" w:firstLine="0" w:firstLineChars="0"/>
      </w:pPr>
      <w:r>
        <w:t>供试品溶液的制备：某些供试品需进行复溶、稀释或在水性溶液中浸提制成供试品溶液。一般供试品溶液和鲎试剂混合后溶液的 pH 值在 6.0~8.0 为宜。对于过酸、过碱或本身有缓冲能力的供试品，需调节被测溶液（或其稀释液）的 pH 值至 6.0~8.0，可使用酸、碱溶液或适宜的缓冲液调节 pH 值。酸或碱溶液须用细菌内毒素检查用水在已去除内毒素的容器中配制。缓冲液必须经过验证不含内毒素和干扰因子。</w:t>
      </w:r>
    </w:p>
    <w:sectPr>
      <w:pgSz w:w="11906" w:h="16838"/>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Cambria">
    <w:panose1 w:val="02040503050406030204"/>
    <w:charset w:val="00"/>
    <w:family w:val="auto"/>
    <w:pitch w:val="default"/>
    <w:sig w:usb0="E00006FF" w:usb1="420024FF" w:usb2="02000000" w:usb3="00000000" w:csb0="2000019F"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7B480937"/>
    <w:multiLevelType w:val="singleLevel"/>
    <w:tmpl w:val="7B480937"/>
    <w:lvl w:ilvl="0" w:tentative="0">
      <w:start w:val="2"/>
      <w:numFmt w:val="decimal"/>
      <w:suff w:val="space"/>
      <w:lvlText w:val="%1."/>
      <w:lvlJc w:val="left"/>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documentProtection w:enforcement="0"/>
  <w:defaultTabStop w:val="720"/>
  <w:displayHorizontalDrawingGridEvery w:val="0"/>
  <w:displayVerticalDrawingGridEvery w:val="2"/>
  <w:characterSpacingControl w:val="doNotCompress"/>
  <w:compat>
    <w:balanceSingleByteDoubleByteWidth/>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E04859"/>
    <w:rsid w:val="00FC693F"/>
    <w:rsid w:val="239F29E4"/>
    <w:rsid w:val="49624E87"/>
    <w:rsid w:val="4AE149E4"/>
    <w:rsid w:val="5DD27FCF"/>
    <w:rsid w:val="5F2B4B42"/>
    <w:rsid w:val="6C395C8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360" w:lineRule="auto"/>
    </w:pPr>
    <w:rPr>
      <w:rFonts w:ascii="Times New Roman" w:hAnsi="Times New Roman" w:eastAsia="宋体" w:cstheme="minorBidi"/>
      <w:sz w:val="24"/>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uiPriority w:val="99"/>
    <w:tblPr>
      <w:tblLayout w:type="fixed"/>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blLayout w:type="fixed"/>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BFBFBF" w:themeFill="text1" w:themeFillTint="3F"/>
      </w:tcPr>
    </w:tblStylePr>
    <w:tblStylePr w:type="band1Horz">
      <w:tblPr>
        <w:tblLayout w:type="fixed"/>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blLayout w:type="fixed"/>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3DFEE" w:themeFill="accent1" w:themeFillTint="3F"/>
      </w:tcPr>
    </w:tblStylePr>
    <w:tblStylePr w:type="band1Horz">
      <w:tblPr>
        <w:tblLayout w:type="fixed"/>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blLayout w:type="fixed"/>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EFD3D3" w:themeFill="accent2" w:themeFillTint="3F"/>
      </w:tcPr>
    </w:tblStylePr>
    <w:tblStylePr w:type="band1Horz">
      <w:tblPr>
        <w:tblLayout w:type="fixed"/>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blLayout w:type="fixed"/>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E6EED5" w:themeFill="accent3" w:themeFillTint="3F"/>
      </w:tcPr>
    </w:tblStylePr>
    <w:tblStylePr w:type="band1Horz">
      <w:tblPr>
        <w:tblLayout w:type="fixed"/>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blLayout w:type="fixed"/>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FD8E8" w:themeFill="accent4" w:themeFillTint="3F"/>
      </w:tcPr>
    </w:tblStylePr>
    <w:tblStylePr w:type="band1Horz">
      <w:tblPr>
        <w:tblLayout w:type="fixed"/>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blLayout w:type="fixed"/>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2EAF0" w:themeFill="accent5" w:themeFillTint="3F"/>
      </w:tcPr>
    </w:tblStylePr>
    <w:tblStylePr w:type="band1Horz">
      <w:tblPr>
        <w:tblLayout w:type="fixed"/>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blLayout w:type="fixed"/>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FDE5D1" w:themeFill="accent6" w:themeFillTint="3F"/>
      </w:tcPr>
    </w:tblStylePr>
    <w:tblStylePr w:type="band1Horz">
      <w:tblPr>
        <w:tblLayout w:type="fixed"/>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000000" w:themeFill="text1"/>
      </w:tcPr>
    </w:tblStylePr>
    <w:tblStylePr w:type="lastRow">
      <w:pPr>
        <w:spacing w:before="0" w:after="0" w:line="240" w:lineRule="auto"/>
      </w:pPr>
      <w:rPr>
        <w:b/>
        <w:bCs/>
      </w:rPr>
      <w:tblPr>
        <w:tblLayout w:type="fixed"/>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4F81BD" w:themeFill="accent1"/>
      </w:tcPr>
    </w:tblStylePr>
    <w:tblStylePr w:type="lastRow">
      <w:pPr>
        <w:spacing w:before="0" w:after="0" w:line="240" w:lineRule="auto"/>
      </w:pPr>
      <w:rPr>
        <w:b/>
        <w:bCs/>
      </w:rPr>
      <w:tblPr>
        <w:tblLayout w:type="fixed"/>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C0504D" w:themeFill="accent2"/>
      </w:tcPr>
    </w:tblStylePr>
    <w:tblStylePr w:type="lastRow">
      <w:pPr>
        <w:spacing w:before="0" w:after="0" w:line="240" w:lineRule="auto"/>
      </w:pPr>
      <w:rPr>
        <w:b/>
        <w:bCs/>
      </w:rPr>
      <w:tblPr>
        <w:tblLayout w:type="fixed"/>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9BBB59" w:themeFill="accent3"/>
      </w:tcPr>
    </w:tblStylePr>
    <w:tblStylePr w:type="lastRow">
      <w:pPr>
        <w:spacing w:before="0" w:after="0" w:line="240" w:lineRule="auto"/>
      </w:pPr>
      <w:rPr>
        <w:b/>
        <w:bCs/>
      </w:rPr>
      <w:tblPr>
        <w:tblLayout w:type="fixed"/>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8064A2" w:themeFill="accent4"/>
      </w:tcPr>
    </w:tblStylePr>
    <w:tblStylePr w:type="lastRow">
      <w:pPr>
        <w:spacing w:before="0" w:after="0" w:line="240" w:lineRule="auto"/>
      </w:pPr>
      <w:rPr>
        <w:b/>
        <w:bCs/>
      </w:rPr>
      <w:tblPr>
        <w:tblLayout w:type="fixed"/>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4BACC6" w:themeFill="accent5"/>
      </w:tcPr>
    </w:tblStylePr>
    <w:tblStylePr w:type="lastRow">
      <w:pPr>
        <w:spacing w:before="0" w:after="0" w:line="240" w:lineRule="auto"/>
      </w:pPr>
      <w:rPr>
        <w:b/>
        <w:bCs/>
      </w:rPr>
      <w:tblPr>
        <w:tblLayout w:type="fixed"/>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F79646" w:themeFill="accent6"/>
      </w:tcPr>
    </w:tblStylePr>
    <w:tblStylePr w:type="lastRow">
      <w:pPr>
        <w:spacing w:before="0" w:after="0" w:line="240" w:lineRule="auto"/>
      </w:pPr>
      <w:rPr>
        <w:b/>
        <w:bCs/>
      </w:rPr>
      <w:tblPr>
        <w:tblLayout w:type="fixed"/>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blLayout w:type="fixed"/>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BFBFBF" w:themeFill="text1" w:themeFillTint="3F"/>
      </w:tcPr>
    </w:tblStylePr>
    <w:tblStylePr w:type="band1Horz">
      <w:tblPr>
        <w:tblLayout w:type="fixed"/>
      </w:tblPr>
      <w:tcPr>
        <w:tcBorders>
          <w:insideH w:val="nil"/>
          <w:insideV w:val="nil"/>
        </w:tcBorders>
        <w:shd w:val="clear" w:color="auto" w:fill="BFBFBF" w:themeFill="text1" w:themeFillTint="3F"/>
      </w:tcPr>
    </w:tblStylePr>
    <w:tblStylePr w:type="band2Horz">
      <w:tblPr>
        <w:tblLayout w:type="fixed"/>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blLayout w:type="fixed"/>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3DFEE" w:themeFill="accent1" w:themeFillTint="3F"/>
      </w:tcPr>
    </w:tblStylePr>
    <w:tblStylePr w:type="band1Horz">
      <w:tblPr>
        <w:tblLayout w:type="fixed"/>
      </w:tblPr>
      <w:tcPr>
        <w:tcBorders>
          <w:insideH w:val="nil"/>
          <w:insideV w:val="nil"/>
        </w:tcBorders>
        <w:shd w:val="clear" w:color="auto" w:fill="D3DFEE" w:themeFill="accent1" w:themeFillTint="3F"/>
      </w:tcPr>
    </w:tblStylePr>
    <w:tblStylePr w:type="band2Horz">
      <w:tblPr>
        <w:tblLayout w:type="fixed"/>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blLayout w:type="fixed"/>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EFD3D3" w:themeFill="accent2" w:themeFillTint="3F"/>
      </w:tcPr>
    </w:tblStylePr>
    <w:tblStylePr w:type="band1Horz">
      <w:tblPr>
        <w:tblLayout w:type="fixed"/>
      </w:tblPr>
      <w:tcPr>
        <w:tcBorders>
          <w:insideH w:val="nil"/>
          <w:insideV w:val="nil"/>
        </w:tcBorders>
        <w:shd w:val="clear" w:color="auto" w:fill="EFD3D3" w:themeFill="accent2" w:themeFillTint="3F"/>
      </w:tcPr>
    </w:tblStylePr>
    <w:tblStylePr w:type="band2Horz">
      <w:tblPr>
        <w:tblLayout w:type="fixed"/>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blLayout w:type="fixed"/>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E6EED5" w:themeFill="accent3" w:themeFillTint="3F"/>
      </w:tcPr>
    </w:tblStylePr>
    <w:tblStylePr w:type="band1Horz">
      <w:tblPr>
        <w:tblLayout w:type="fixed"/>
      </w:tblPr>
      <w:tcPr>
        <w:tcBorders>
          <w:insideH w:val="nil"/>
          <w:insideV w:val="nil"/>
        </w:tcBorders>
        <w:shd w:val="clear" w:color="auto" w:fill="E6EED5" w:themeFill="accent3" w:themeFillTint="3F"/>
      </w:tcPr>
    </w:tblStylePr>
    <w:tblStylePr w:type="band2Horz">
      <w:tblPr>
        <w:tblLayout w:type="fixed"/>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blLayout w:type="fixed"/>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FD8E8" w:themeFill="accent4" w:themeFillTint="3F"/>
      </w:tcPr>
    </w:tblStylePr>
    <w:tblStylePr w:type="band1Horz">
      <w:tblPr>
        <w:tblLayout w:type="fixed"/>
      </w:tblPr>
      <w:tcPr>
        <w:tcBorders>
          <w:insideH w:val="nil"/>
          <w:insideV w:val="nil"/>
        </w:tcBorders>
        <w:shd w:val="clear" w:color="auto" w:fill="DFD8E8" w:themeFill="accent4" w:themeFillTint="3F"/>
      </w:tcPr>
    </w:tblStylePr>
    <w:tblStylePr w:type="band2Horz">
      <w:tblPr>
        <w:tblLayout w:type="fixed"/>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blLayout w:type="fixed"/>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2EAF0" w:themeFill="accent5" w:themeFillTint="3F"/>
      </w:tcPr>
    </w:tblStylePr>
    <w:tblStylePr w:type="band1Horz">
      <w:tblPr>
        <w:tblLayout w:type="fixed"/>
      </w:tblPr>
      <w:tcPr>
        <w:tcBorders>
          <w:insideH w:val="nil"/>
          <w:insideV w:val="nil"/>
        </w:tcBorders>
        <w:shd w:val="clear" w:color="auto" w:fill="D2EAF0" w:themeFill="accent5" w:themeFillTint="3F"/>
      </w:tcPr>
    </w:tblStylePr>
    <w:tblStylePr w:type="band2Horz">
      <w:tblPr>
        <w:tblLayout w:type="fixed"/>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blLayout w:type="fixed"/>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FDE5D1" w:themeFill="accent6" w:themeFillTint="3F"/>
      </w:tcPr>
    </w:tblStylePr>
    <w:tblStylePr w:type="band1Horz">
      <w:tblPr>
        <w:tblLayout w:type="fixed"/>
      </w:tblPr>
      <w:tcPr>
        <w:tcBorders>
          <w:insideH w:val="nil"/>
          <w:insideV w:val="nil"/>
        </w:tcBorders>
        <w:shd w:val="clear" w:color="auto" w:fill="FDE5D1" w:themeFill="accent6" w:themeFillTint="3F"/>
      </w:tcPr>
    </w:tblStylePr>
    <w:tblStylePr w:type="band2Horz">
      <w:tblPr>
        <w:tblLayout w:type="fixed"/>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000000" w:themeFill="text1"/>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4F81BD" w:themeFill="accent1"/>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C0504D" w:themeFill="accent2"/>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9BBB59" w:themeFill="accent3"/>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8064A2" w:themeFill="accent4"/>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4BACC6" w:themeFill="accent5"/>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F79646" w:themeFill="accent6"/>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blLayout w:type="fixed"/>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blLayout w:type="fixed"/>
      </w:tblPr>
      <w:tcPr>
        <w:tcBorders>
          <w:top w:val="single" w:color="000000" w:themeColor="text1" w:sz="8" w:space="0"/>
          <w:bottom w:val="single" w:color="000000" w:themeColor="text1" w:sz="8" w:space="0"/>
        </w:tcBorders>
      </w:tcPr>
    </w:tblStylePr>
    <w:tblStylePr w:type="band1Vert">
      <w:tblPr>
        <w:tblLayout w:type="fixed"/>
      </w:tblPr>
      <w:tcPr>
        <w:shd w:val="clear" w:color="auto" w:fill="BFBFBF" w:themeFill="text1" w:themeFillTint="3F"/>
      </w:tcPr>
    </w:tblStylePr>
    <w:tblStylePr w:type="band1Horz">
      <w:tblPr>
        <w:tblLayout w:type="fixed"/>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blLayout w:type="fixed"/>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blLayout w:type="fixed"/>
      </w:tblPr>
      <w:tcPr>
        <w:tcBorders>
          <w:top w:val="single" w:color="4F81BD" w:themeColor="accent1" w:sz="8" w:space="0"/>
          <w:bottom w:val="single" w:color="4F81BD" w:themeColor="accent1" w:sz="8" w:space="0"/>
        </w:tcBorders>
      </w:tcPr>
    </w:tblStylePr>
    <w:tblStylePr w:type="band1Vert">
      <w:tblPr>
        <w:tblLayout w:type="fixed"/>
      </w:tblPr>
      <w:tcPr>
        <w:shd w:val="clear" w:color="auto" w:fill="D3DFEE" w:themeFill="accent1" w:themeFillTint="3F"/>
      </w:tcPr>
    </w:tblStylePr>
    <w:tblStylePr w:type="band1Horz">
      <w:tblPr>
        <w:tblLayout w:type="fixed"/>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blLayout w:type="fixed"/>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blLayout w:type="fixed"/>
      </w:tblPr>
      <w:tcPr>
        <w:tcBorders>
          <w:top w:val="single" w:color="C0504D" w:themeColor="accent2" w:sz="8" w:space="0"/>
          <w:bottom w:val="single" w:color="C0504D" w:themeColor="accent2" w:sz="8" w:space="0"/>
        </w:tcBorders>
      </w:tcPr>
    </w:tblStylePr>
    <w:tblStylePr w:type="band1Vert">
      <w:tblPr>
        <w:tblLayout w:type="fixed"/>
      </w:tblPr>
      <w:tcPr>
        <w:shd w:val="clear" w:color="auto" w:fill="EFD3D3" w:themeFill="accent2" w:themeFillTint="3F"/>
      </w:tcPr>
    </w:tblStylePr>
    <w:tblStylePr w:type="band1Horz">
      <w:tblPr>
        <w:tblLayout w:type="fixed"/>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blLayout w:type="fixed"/>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blLayout w:type="fixed"/>
      </w:tblPr>
      <w:tcPr>
        <w:tcBorders>
          <w:top w:val="single" w:color="9BBB59" w:themeColor="accent3" w:sz="8" w:space="0"/>
          <w:bottom w:val="single" w:color="9BBB59" w:themeColor="accent3" w:sz="8" w:space="0"/>
        </w:tcBorders>
      </w:tcPr>
    </w:tblStylePr>
    <w:tblStylePr w:type="band1Vert">
      <w:tblPr>
        <w:tblLayout w:type="fixed"/>
      </w:tblPr>
      <w:tcPr>
        <w:shd w:val="clear" w:color="auto" w:fill="E6EED5" w:themeFill="accent3" w:themeFillTint="3F"/>
      </w:tcPr>
    </w:tblStylePr>
    <w:tblStylePr w:type="band1Horz">
      <w:tblPr>
        <w:tblLayout w:type="fixed"/>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blLayout w:type="fixed"/>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blLayout w:type="fixed"/>
      </w:tblPr>
      <w:tcPr>
        <w:tcBorders>
          <w:top w:val="single" w:color="8064A2" w:themeColor="accent4" w:sz="8" w:space="0"/>
          <w:bottom w:val="single" w:color="8064A2" w:themeColor="accent4" w:sz="8" w:space="0"/>
        </w:tcBorders>
      </w:tcPr>
    </w:tblStylePr>
    <w:tblStylePr w:type="band1Vert">
      <w:tblPr>
        <w:tblLayout w:type="fixed"/>
      </w:tblPr>
      <w:tcPr>
        <w:shd w:val="clear" w:color="auto" w:fill="DFD8E8" w:themeFill="accent4" w:themeFillTint="3F"/>
      </w:tcPr>
    </w:tblStylePr>
    <w:tblStylePr w:type="band1Horz">
      <w:tblPr>
        <w:tblLayout w:type="fixed"/>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blLayout w:type="fixed"/>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blLayout w:type="fixed"/>
      </w:tblPr>
      <w:tcPr>
        <w:tcBorders>
          <w:top w:val="single" w:color="4BACC6" w:themeColor="accent5" w:sz="8" w:space="0"/>
          <w:bottom w:val="single" w:color="4BACC6" w:themeColor="accent5" w:sz="8" w:space="0"/>
        </w:tcBorders>
      </w:tcPr>
    </w:tblStylePr>
    <w:tblStylePr w:type="band1Vert">
      <w:tblPr>
        <w:tblLayout w:type="fixed"/>
      </w:tblPr>
      <w:tcPr>
        <w:shd w:val="clear" w:color="auto" w:fill="D2EAF0" w:themeFill="accent5" w:themeFillTint="3F"/>
      </w:tcPr>
    </w:tblStylePr>
    <w:tblStylePr w:type="band1Horz">
      <w:tblPr>
        <w:tblLayout w:type="fixed"/>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blLayout w:type="fixed"/>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blLayout w:type="fixed"/>
      </w:tblPr>
      <w:tcPr>
        <w:tcBorders>
          <w:top w:val="single" w:color="F79646" w:themeColor="accent6" w:sz="8" w:space="0"/>
          <w:bottom w:val="single" w:color="F79646" w:themeColor="accent6" w:sz="8" w:space="0"/>
        </w:tcBorders>
      </w:tcPr>
    </w:tblStylePr>
    <w:tblStylePr w:type="band1Vert">
      <w:tblPr>
        <w:tblLayout w:type="fixed"/>
      </w:tblPr>
      <w:tcPr>
        <w:shd w:val="clear" w:color="auto" w:fill="FDE5D1" w:themeFill="accent6" w:themeFillTint="3F"/>
      </w:tcPr>
    </w:tblStylePr>
    <w:tblStylePr w:type="band1Horz">
      <w:tblPr>
        <w:tblLayout w:type="fixed"/>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blLayout w:type="fixed"/>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blLayout w:type="fixed"/>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BFBFBF" w:themeFill="text1" w:themeFillTint="3F"/>
      </w:tcPr>
    </w:tblStylePr>
    <w:tblStylePr w:type="band1Horz">
      <w:tblPr>
        <w:tblLayout w:type="fixed"/>
      </w:tblPr>
      <w:tcPr>
        <w:tcBorders>
          <w:top w:val="nil"/>
          <w:bottom w:val="nil"/>
          <w:insideH w:val="nil"/>
          <w:insideV w:val="nil"/>
        </w:tcBorders>
        <w:shd w:val="clear" w:color="auto" w:fill="BFBFBF" w:themeFill="text1"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blLayout w:type="fixed"/>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blLayout w:type="fixed"/>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3DFEE" w:themeFill="accent1" w:themeFillTint="3F"/>
      </w:tcPr>
    </w:tblStylePr>
    <w:tblStylePr w:type="band1Horz">
      <w:tblPr>
        <w:tblLayout w:type="fixed"/>
      </w:tblPr>
      <w:tcPr>
        <w:tcBorders>
          <w:top w:val="nil"/>
          <w:bottom w:val="nil"/>
          <w:insideH w:val="nil"/>
          <w:insideV w:val="nil"/>
        </w:tcBorders>
        <w:shd w:val="clear" w:color="auto" w:fill="D3DFEE" w:themeFill="accent1"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blLayout w:type="fixed"/>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blLayout w:type="fixed"/>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EFD3D3" w:themeFill="accent2" w:themeFillTint="3F"/>
      </w:tcPr>
    </w:tblStylePr>
    <w:tblStylePr w:type="band1Horz">
      <w:tblPr>
        <w:tblLayout w:type="fixed"/>
      </w:tblPr>
      <w:tcPr>
        <w:tcBorders>
          <w:top w:val="nil"/>
          <w:bottom w:val="nil"/>
          <w:insideH w:val="nil"/>
          <w:insideV w:val="nil"/>
        </w:tcBorders>
        <w:shd w:val="clear" w:color="auto" w:fill="EFD3D3" w:themeFill="accent2"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blLayout w:type="fixed"/>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blLayout w:type="fixed"/>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E6EED5" w:themeFill="accent3" w:themeFillTint="3F"/>
      </w:tcPr>
    </w:tblStylePr>
    <w:tblStylePr w:type="band1Horz">
      <w:tblPr>
        <w:tblLayout w:type="fixed"/>
      </w:tblPr>
      <w:tcPr>
        <w:tcBorders>
          <w:top w:val="nil"/>
          <w:bottom w:val="nil"/>
          <w:insideH w:val="nil"/>
          <w:insideV w:val="nil"/>
        </w:tcBorders>
        <w:shd w:val="clear" w:color="auto" w:fill="E6EED5" w:themeFill="accent3"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blLayout w:type="fixed"/>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blLayout w:type="fixed"/>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FD8E8" w:themeFill="accent4" w:themeFillTint="3F"/>
      </w:tcPr>
    </w:tblStylePr>
    <w:tblStylePr w:type="band1Horz">
      <w:tblPr>
        <w:tblLayout w:type="fixed"/>
      </w:tblPr>
      <w:tcPr>
        <w:tcBorders>
          <w:top w:val="nil"/>
          <w:bottom w:val="nil"/>
          <w:insideH w:val="nil"/>
          <w:insideV w:val="nil"/>
        </w:tcBorders>
        <w:shd w:val="clear" w:color="auto" w:fill="DFD8E8" w:themeFill="accent4"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blLayout w:type="fixed"/>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blLayout w:type="fixed"/>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2EAF0" w:themeFill="accent5" w:themeFillTint="3F"/>
      </w:tcPr>
    </w:tblStylePr>
    <w:tblStylePr w:type="band1Horz">
      <w:tblPr>
        <w:tblLayout w:type="fixed"/>
      </w:tblPr>
      <w:tcPr>
        <w:tcBorders>
          <w:top w:val="nil"/>
          <w:bottom w:val="nil"/>
          <w:insideH w:val="nil"/>
          <w:insideV w:val="nil"/>
        </w:tcBorders>
        <w:shd w:val="clear" w:color="auto" w:fill="D2EAF0" w:themeFill="accent5"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blLayout w:type="fixed"/>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blLayout w:type="fixed"/>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FDE5D1" w:themeFill="accent6" w:themeFillTint="3F"/>
      </w:tcPr>
    </w:tblStylePr>
    <w:tblStylePr w:type="band1Horz">
      <w:tblPr>
        <w:tblLayout w:type="fixed"/>
      </w:tblPr>
      <w:tcPr>
        <w:tcBorders>
          <w:top w:val="nil"/>
          <w:bottom w:val="nil"/>
          <w:insideH w:val="nil"/>
          <w:insideV w:val="nil"/>
        </w:tcBorders>
        <w:shd w:val="clear" w:color="auto" w:fill="FDE5D1" w:themeFill="accent6"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Layout w:type="fixed"/>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blLayout w:type="fixed"/>
      </w:tblPr>
      <w:tcPr>
        <w:tcBorders>
          <w:top w:val="single" w:color="3F3F3F" w:themeColor="text1" w:themeTint="BF" w:sz="18" w:space="0"/>
        </w:tcBorders>
      </w:tcPr>
    </w:tblStylePr>
    <w:tblStylePr w:type="firstCol">
      <w:rPr>
        <w:b/>
        <w:bCs/>
      </w:rPr>
    </w:tblStylePr>
    <w:tblStylePr w:type="lastCol">
      <w:rPr>
        <w:b/>
        <w:bCs/>
      </w:rPr>
    </w:tblStylePr>
    <w:tblStylePr w:type="band1Vert">
      <w:tblPr>
        <w:tblLayout w:type="fixed"/>
      </w:tblPr>
      <w:tcPr>
        <w:shd w:val="clear" w:color="auto" w:fill="7F7F7F" w:themeFill="text1" w:themeFillTint="7F"/>
      </w:tcPr>
    </w:tblStylePr>
    <w:tblStylePr w:type="band1Horz">
      <w:tblPr>
        <w:tblLayout w:type="fixed"/>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Layout w:type="fixed"/>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blLayout w:type="fixed"/>
      </w:tblPr>
      <w:tcPr>
        <w:tcBorders>
          <w:top w:val="single" w:color="7BA0CD" w:themeColor="accent1" w:themeTint="BF" w:sz="18" w:space="0"/>
        </w:tcBorders>
      </w:tcPr>
    </w:tblStylePr>
    <w:tblStylePr w:type="firstCol">
      <w:rPr>
        <w:b/>
        <w:bCs/>
      </w:rPr>
    </w:tblStylePr>
    <w:tblStylePr w:type="lastCol">
      <w:rPr>
        <w:b/>
        <w:bCs/>
      </w:rPr>
    </w:tblStylePr>
    <w:tblStylePr w:type="band1Vert">
      <w:tblPr>
        <w:tblLayout w:type="fixed"/>
      </w:tblPr>
      <w:tcPr>
        <w:shd w:val="clear" w:color="auto" w:fill="A7C0DE" w:themeFill="accent1" w:themeFillTint="7F"/>
      </w:tcPr>
    </w:tblStylePr>
    <w:tblStylePr w:type="band1Horz">
      <w:tblPr>
        <w:tblLayout w:type="fixed"/>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Layout w:type="fixed"/>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blLayout w:type="fixed"/>
      </w:tblPr>
      <w:tcPr>
        <w:tcBorders>
          <w:top w:val="single" w:color="CF7B79" w:themeColor="accent2" w:themeTint="BF" w:sz="18" w:space="0"/>
        </w:tcBorders>
      </w:tcPr>
    </w:tblStylePr>
    <w:tblStylePr w:type="firstCol">
      <w:rPr>
        <w:b/>
        <w:bCs/>
      </w:rPr>
    </w:tblStylePr>
    <w:tblStylePr w:type="lastCol">
      <w:rPr>
        <w:b/>
        <w:bCs/>
      </w:rPr>
    </w:tblStylePr>
    <w:tblStylePr w:type="band1Vert">
      <w:tblPr>
        <w:tblLayout w:type="fixed"/>
      </w:tblPr>
      <w:tcPr>
        <w:shd w:val="clear" w:color="auto" w:fill="DFA7A6" w:themeFill="accent2" w:themeFillTint="7F"/>
      </w:tcPr>
    </w:tblStylePr>
    <w:tblStylePr w:type="band1Horz">
      <w:tblPr>
        <w:tblLayout w:type="fixed"/>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Layout w:type="fixed"/>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blLayout w:type="fixed"/>
      </w:tblPr>
      <w:tcPr>
        <w:tcBorders>
          <w:top w:val="single" w:color="B4CC82" w:themeColor="accent3" w:themeTint="BF" w:sz="18" w:space="0"/>
        </w:tcBorders>
      </w:tcPr>
    </w:tblStylePr>
    <w:tblStylePr w:type="firstCol">
      <w:rPr>
        <w:b/>
        <w:bCs/>
      </w:rPr>
    </w:tblStylePr>
    <w:tblStylePr w:type="lastCol">
      <w:rPr>
        <w:b/>
        <w:bCs/>
      </w:rPr>
    </w:tblStylePr>
    <w:tblStylePr w:type="band1Vert">
      <w:tblPr>
        <w:tblLayout w:type="fixed"/>
      </w:tblPr>
      <w:tcPr>
        <w:shd w:val="clear" w:color="auto" w:fill="CDDDAC" w:themeFill="accent3" w:themeFillTint="7F"/>
      </w:tcPr>
    </w:tblStylePr>
    <w:tblStylePr w:type="band1Horz">
      <w:tblPr>
        <w:tblLayout w:type="fixed"/>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Layout w:type="fixed"/>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blLayout w:type="fixed"/>
      </w:tblPr>
      <w:tcPr>
        <w:tcBorders>
          <w:top w:val="single" w:color="9F8AB9" w:themeColor="accent4" w:themeTint="BF" w:sz="18" w:space="0"/>
        </w:tcBorders>
      </w:tcPr>
    </w:tblStylePr>
    <w:tblStylePr w:type="firstCol">
      <w:rPr>
        <w:b/>
        <w:bCs/>
      </w:rPr>
    </w:tblStylePr>
    <w:tblStylePr w:type="lastCol">
      <w:rPr>
        <w:b/>
        <w:bCs/>
      </w:rPr>
    </w:tblStylePr>
    <w:tblStylePr w:type="band1Vert">
      <w:tblPr>
        <w:tblLayout w:type="fixed"/>
      </w:tblPr>
      <w:tcPr>
        <w:shd w:val="clear" w:color="auto" w:fill="BFB1D0" w:themeFill="accent4" w:themeFillTint="7F"/>
      </w:tcPr>
    </w:tblStylePr>
    <w:tblStylePr w:type="band1Horz">
      <w:tblPr>
        <w:tblLayout w:type="fixed"/>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Layout w:type="fixed"/>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blLayout w:type="fixed"/>
      </w:tblPr>
      <w:tcPr>
        <w:tcBorders>
          <w:top w:val="single" w:color="78C0D4" w:themeColor="accent5" w:themeTint="BF" w:sz="18" w:space="0"/>
        </w:tcBorders>
      </w:tcPr>
    </w:tblStylePr>
    <w:tblStylePr w:type="firstCol">
      <w:rPr>
        <w:b/>
        <w:bCs/>
      </w:rPr>
    </w:tblStylePr>
    <w:tblStylePr w:type="lastCol">
      <w:rPr>
        <w:b/>
        <w:bCs/>
      </w:rPr>
    </w:tblStylePr>
    <w:tblStylePr w:type="band1Vert">
      <w:tblPr>
        <w:tblLayout w:type="fixed"/>
      </w:tblPr>
      <w:tcPr>
        <w:shd w:val="clear" w:color="auto" w:fill="A5D5E2" w:themeFill="accent5" w:themeFillTint="7F"/>
      </w:tcPr>
    </w:tblStylePr>
    <w:tblStylePr w:type="band1Horz">
      <w:tblPr>
        <w:tblLayout w:type="fixed"/>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Layout w:type="fixed"/>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blLayout w:type="fixed"/>
      </w:tblPr>
      <w:tcPr>
        <w:tcBorders>
          <w:top w:val="single" w:color="F9B074" w:themeColor="accent6" w:themeTint="BF" w:sz="18" w:space="0"/>
        </w:tcBorders>
      </w:tcPr>
    </w:tblStylePr>
    <w:tblStylePr w:type="firstCol">
      <w:rPr>
        <w:b/>
        <w:bCs/>
      </w:rPr>
    </w:tblStylePr>
    <w:tblStylePr w:type="lastCol">
      <w:rPr>
        <w:b/>
        <w:bCs/>
      </w:rPr>
    </w:tblStylePr>
    <w:tblStylePr w:type="band1Vert">
      <w:tblPr>
        <w:tblLayout w:type="fixed"/>
      </w:tblPr>
      <w:tcPr>
        <w:shd w:val="clear" w:color="auto" w:fill="FBCAA2" w:themeFill="accent6" w:themeFillTint="7F"/>
      </w:tcPr>
    </w:tblStylePr>
    <w:tblStylePr w:type="band1Horz">
      <w:tblPr>
        <w:tblLayout w:type="fixed"/>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blLayout w:type="fixed"/>
      </w:tblPr>
      <w:tcPr>
        <w:shd w:val="clear" w:color="auto" w:fill="E5E5E5" w:themeFill="text1"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CCCCCC" w:themeFill="text1" w:themeFillTint="33"/>
      </w:tcPr>
    </w:tblStylePr>
    <w:tblStylePr w:type="band1Vert">
      <w:tblPr>
        <w:tblLayout w:type="fixed"/>
      </w:tblPr>
      <w:tcPr>
        <w:shd w:val="clear" w:color="auto" w:fill="7F7F7F" w:themeFill="text1" w:themeFillTint="7F"/>
      </w:tcPr>
    </w:tblStylePr>
    <w:tblStylePr w:type="band1Horz">
      <w:tblPr>
        <w:tblLayout w:type="fixed"/>
      </w:tblPr>
      <w:tcPr>
        <w:tcBorders>
          <w:insideH w:val="single" w:sz="6" w:space="0"/>
          <w:insideV w:val="single" w:sz="6" w:space="0"/>
        </w:tcBorders>
        <w:shd w:val="clear" w:color="auto" w:fill="7F7F7F" w:themeFill="text1" w:themeFillTint="7F"/>
      </w:tcPr>
    </w:tblStylePr>
    <w:tblStylePr w:type="nwCell">
      <w:tblPr>
        <w:tblLayout w:type="fixed"/>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blLayout w:type="fixed"/>
      </w:tblPr>
      <w:tcPr>
        <w:shd w:val="clear" w:color="auto" w:fill="EDF2F8" w:themeFill="accent1"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DBE5F1" w:themeFill="accent1" w:themeFillTint="33"/>
      </w:tcPr>
    </w:tblStylePr>
    <w:tblStylePr w:type="band1Vert">
      <w:tblPr>
        <w:tblLayout w:type="fixed"/>
      </w:tblPr>
      <w:tcPr>
        <w:shd w:val="clear" w:color="auto" w:fill="A7C0DE" w:themeFill="accent1" w:themeFillTint="7F"/>
      </w:tcPr>
    </w:tblStylePr>
    <w:tblStylePr w:type="band1Horz">
      <w:tblPr>
        <w:tblLayout w:type="fixed"/>
      </w:tblPr>
      <w:tcPr>
        <w:tcBorders>
          <w:insideH w:val="single" w:sz="6" w:space="0"/>
          <w:insideV w:val="single" w:sz="6" w:space="0"/>
        </w:tcBorders>
        <w:shd w:val="clear" w:color="auto" w:fill="A7C0DE" w:themeFill="accent1" w:themeFillTint="7F"/>
      </w:tcPr>
    </w:tblStylePr>
    <w:tblStylePr w:type="nwCell">
      <w:tblPr>
        <w:tblLayout w:type="fixed"/>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Layout w:type="fixed"/>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blLayout w:type="fixed"/>
      </w:tblPr>
      <w:tcPr>
        <w:shd w:val="clear" w:color="auto" w:fill="F8EDED" w:themeFill="accent2"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2DBDB" w:themeFill="accent2" w:themeFillTint="33"/>
      </w:tcPr>
    </w:tblStylePr>
    <w:tblStylePr w:type="band1Vert">
      <w:tblPr>
        <w:tblLayout w:type="fixed"/>
      </w:tblPr>
      <w:tcPr>
        <w:shd w:val="clear" w:color="auto" w:fill="DFA7A6" w:themeFill="accent2" w:themeFillTint="7F"/>
      </w:tcPr>
    </w:tblStylePr>
    <w:tblStylePr w:type="band1Horz">
      <w:tblPr>
        <w:tblLayout w:type="fixed"/>
      </w:tblPr>
      <w:tcPr>
        <w:tcBorders>
          <w:insideH w:val="single" w:sz="6" w:space="0"/>
          <w:insideV w:val="single" w:sz="6" w:space="0"/>
        </w:tcBorders>
        <w:shd w:val="clear" w:color="auto" w:fill="DFA7A6" w:themeFill="accent2" w:themeFillTint="7F"/>
      </w:tcPr>
    </w:tblStylePr>
    <w:tblStylePr w:type="nwCell">
      <w:tblPr>
        <w:tblLayout w:type="fixed"/>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Layout w:type="fixed"/>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blLayout w:type="fixed"/>
      </w:tblPr>
      <w:tcPr>
        <w:shd w:val="clear" w:color="auto" w:fill="F5F8EE" w:themeFill="accent3"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EAF1DD" w:themeFill="accent3" w:themeFillTint="33"/>
      </w:tcPr>
    </w:tblStylePr>
    <w:tblStylePr w:type="band1Vert">
      <w:tblPr>
        <w:tblLayout w:type="fixed"/>
      </w:tblPr>
      <w:tcPr>
        <w:shd w:val="clear" w:color="auto" w:fill="CDDDAC" w:themeFill="accent3" w:themeFillTint="7F"/>
      </w:tcPr>
    </w:tblStylePr>
    <w:tblStylePr w:type="band1Horz">
      <w:tblPr>
        <w:tblLayout w:type="fixed"/>
      </w:tblPr>
      <w:tcPr>
        <w:tcBorders>
          <w:insideH w:val="single" w:sz="6" w:space="0"/>
          <w:insideV w:val="single" w:sz="6" w:space="0"/>
        </w:tcBorders>
        <w:shd w:val="clear" w:color="auto" w:fill="CDDDAC" w:themeFill="accent3" w:themeFillTint="7F"/>
      </w:tcPr>
    </w:tblStylePr>
    <w:tblStylePr w:type="nwCell">
      <w:tblPr>
        <w:tblLayout w:type="fixed"/>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Layout w:type="fixed"/>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blLayout w:type="fixed"/>
      </w:tblPr>
      <w:tcPr>
        <w:shd w:val="clear" w:color="auto" w:fill="F2EFF5" w:themeFill="accent4"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E5DFEC" w:themeFill="accent4" w:themeFillTint="33"/>
      </w:tcPr>
    </w:tblStylePr>
    <w:tblStylePr w:type="band1Vert">
      <w:tblPr>
        <w:tblLayout w:type="fixed"/>
      </w:tblPr>
      <w:tcPr>
        <w:shd w:val="clear" w:color="auto" w:fill="BFB1D0" w:themeFill="accent4" w:themeFillTint="7F"/>
      </w:tcPr>
    </w:tblStylePr>
    <w:tblStylePr w:type="band1Horz">
      <w:tblPr>
        <w:tblLayout w:type="fixed"/>
      </w:tblPr>
      <w:tcPr>
        <w:tcBorders>
          <w:insideH w:val="single" w:sz="6" w:space="0"/>
          <w:insideV w:val="single" w:sz="6" w:space="0"/>
        </w:tcBorders>
        <w:shd w:val="clear" w:color="auto" w:fill="BFB1D0" w:themeFill="accent4" w:themeFillTint="7F"/>
      </w:tcPr>
    </w:tblStylePr>
    <w:tblStylePr w:type="nwCell">
      <w:tblPr>
        <w:tblLayout w:type="fixed"/>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Layout w:type="fixed"/>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blLayout w:type="fixed"/>
      </w:tblPr>
      <w:tcPr>
        <w:shd w:val="clear" w:color="auto" w:fill="EDF6F9" w:themeFill="accent5"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DAEEF3" w:themeFill="accent5" w:themeFillTint="33"/>
      </w:tcPr>
    </w:tblStylePr>
    <w:tblStylePr w:type="band1Vert">
      <w:tblPr>
        <w:tblLayout w:type="fixed"/>
      </w:tblPr>
      <w:tcPr>
        <w:shd w:val="clear" w:color="auto" w:fill="A5D5E2" w:themeFill="accent5" w:themeFillTint="7F"/>
      </w:tcPr>
    </w:tblStylePr>
    <w:tblStylePr w:type="band1Horz">
      <w:tblPr>
        <w:tblLayout w:type="fixed"/>
      </w:tblPr>
      <w:tcPr>
        <w:tcBorders>
          <w:insideH w:val="single" w:sz="6" w:space="0"/>
          <w:insideV w:val="single" w:sz="6" w:space="0"/>
        </w:tcBorders>
        <w:shd w:val="clear" w:color="auto" w:fill="A5D5E2" w:themeFill="accent5" w:themeFillTint="7F"/>
      </w:tcPr>
    </w:tblStylePr>
    <w:tblStylePr w:type="nwCell">
      <w:tblPr>
        <w:tblLayout w:type="fixed"/>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Layout w:type="fixed"/>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blLayout w:type="fixed"/>
      </w:tblPr>
      <w:tcPr>
        <w:shd w:val="clear" w:color="auto" w:fill="FEF4EC" w:themeFill="accent6"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DE9D9" w:themeFill="accent6" w:themeFillTint="33"/>
      </w:tcPr>
    </w:tblStylePr>
    <w:tblStylePr w:type="band1Vert">
      <w:tblPr>
        <w:tblLayout w:type="fixed"/>
      </w:tblPr>
      <w:tcPr>
        <w:shd w:val="clear" w:color="auto" w:fill="FBCAA2" w:themeFill="accent6" w:themeFillTint="7F"/>
      </w:tcPr>
    </w:tblStylePr>
    <w:tblStylePr w:type="band1Horz">
      <w:tblPr>
        <w:tblLayout w:type="fixed"/>
      </w:tblPr>
      <w:tcPr>
        <w:tcBorders>
          <w:insideH w:val="single" w:sz="6" w:space="0"/>
          <w:insideV w:val="single" w:sz="6" w:space="0"/>
        </w:tcBorders>
        <w:shd w:val="clear" w:color="auto" w:fill="FBCAA2" w:themeFill="accent6" w:themeFillTint="7F"/>
      </w:tcPr>
    </w:tblStylePr>
    <w:tblStylePr w:type="nwCell">
      <w:tblPr>
        <w:tblLayout w:type="fixed"/>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000000" w:themeFill="text1"/>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blLayout w:type="fixed"/>
      </w:tblPr>
      <w:tcPr>
        <w:tcBorders>
          <w:top w:val="nil"/>
          <w:left w:val="nil"/>
          <w:bottom w:val="nil"/>
          <w:right w:val="nil"/>
          <w:insideH w:val="nil"/>
          <w:insideV w:val="nil"/>
        </w:tcBorders>
        <w:shd w:val="clear" w:color="auto" w:fill="000000" w:themeFill="text1" w:themeFillShade="BF"/>
      </w:tcPr>
    </w:tblStylePr>
    <w:tblStylePr w:type="band1Horz">
      <w:tblPr>
        <w:tblLayout w:type="fixed"/>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4F81BD" w:themeFill="accent1"/>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blLayout w:type="fixed"/>
      </w:tblPr>
      <w:tcPr>
        <w:tcBorders>
          <w:top w:val="nil"/>
          <w:left w:val="nil"/>
          <w:bottom w:val="nil"/>
          <w:right w:val="nil"/>
          <w:insideH w:val="nil"/>
          <w:insideV w:val="nil"/>
        </w:tcBorders>
        <w:shd w:val="clear" w:color="auto" w:fill="366091" w:themeFill="accent1" w:themeFillShade="BF"/>
      </w:tcPr>
    </w:tblStylePr>
    <w:tblStylePr w:type="band1Horz">
      <w:tblPr>
        <w:tblLayout w:type="fixed"/>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C0504D" w:themeFill="accent2"/>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blLayout w:type="fixed"/>
      </w:tblPr>
      <w:tcPr>
        <w:tcBorders>
          <w:top w:val="nil"/>
          <w:left w:val="nil"/>
          <w:bottom w:val="nil"/>
          <w:right w:val="nil"/>
          <w:insideH w:val="nil"/>
          <w:insideV w:val="nil"/>
        </w:tcBorders>
        <w:shd w:val="clear" w:color="auto" w:fill="943734" w:themeFill="accent2" w:themeFillShade="BF"/>
      </w:tcPr>
    </w:tblStylePr>
    <w:tblStylePr w:type="band1Horz">
      <w:tblPr>
        <w:tblLayout w:type="fixed"/>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9BBB59" w:themeFill="accent3"/>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blLayout w:type="fixed"/>
      </w:tblPr>
      <w:tcPr>
        <w:tcBorders>
          <w:top w:val="nil"/>
          <w:left w:val="nil"/>
          <w:bottom w:val="nil"/>
          <w:right w:val="nil"/>
          <w:insideH w:val="nil"/>
          <w:insideV w:val="nil"/>
        </w:tcBorders>
        <w:shd w:val="clear" w:color="auto" w:fill="76923C" w:themeFill="accent3" w:themeFillShade="BF"/>
      </w:tcPr>
    </w:tblStylePr>
    <w:tblStylePr w:type="band1Horz">
      <w:tblPr>
        <w:tblLayout w:type="fixed"/>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8064A2" w:themeFill="accent4"/>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blLayout w:type="fixed"/>
      </w:tblPr>
      <w:tcPr>
        <w:tcBorders>
          <w:top w:val="nil"/>
          <w:left w:val="nil"/>
          <w:bottom w:val="nil"/>
          <w:right w:val="nil"/>
          <w:insideH w:val="nil"/>
          <w:insideV w:val="nil"/>
        </w:tcBorders>
        <w:shd w:val="clear" w:color="auto" w:fill="5F497A" w:themeFill="accent4" w:themeFillShade="BF"/>
      </w:tcPr>
    </w:tblStylePr>
    <w:tblStylePr w:type="band1Horz">
      <w:tblPr>
        <w:tblLayout w:type="fixed"/>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4BACC6" w:themeFill="accent5"/>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blLayout w:type="fixed"/>
      </w:tblPr>
      <w:tcPr>
        <w:tcBorders>
          <w:top w:val="nil"/>
          <w:left w:val="nil"/>
          <w:bottom w:val="nil"/>
          <w:right w:val="nil"/>
          <w:insideH w:val="nil"/>
          <w:insideV w:val="nil"/>
        </w:tcBorders>
        <w:shd w:val="clear" w:color="auto" w:fill="31849B" w:themeFill="accent5" w:themeFillShade="BF"/>
      </w:tcPr>
    </w:tblStylePr>
    <w:tblStylePr w:type="band1Horz">
      <w:tblPr>
        <w:tblLayout w:type="fixed"/>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F79646" w:themeFill="accent6"/>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blLayout w:type="fixed"/>
      </w:tblPr>
      <w:tcPr>
        <w:tcBorders>
          <w:top w:val="nil"/>
          <w:left w:val="nil"/>
          <w:bottom w:val="nil"/>
          <w:right w:val="nil"/>
          <w:insideH w:val="nil"/>
          <w:insideV w:val="nil"/>
        </w:tcBorders>
        <w:shd w:val="clear" w:color="auto" w:fill="E36C09" w:themeFill="accent6" w:themeFillShade="BF"/>
      </w:tcPr>
    </w:tblStylePr>
    <w:tblStylePr w:type="band1Horz">
      <w:tblPr>
        <w:tblLayout w:type="fixed"/>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E5E5E5" w:themeFill="text1" w:themeFillTint="19"/>
    </w:tcPr>
    <w:tblStylePr w:type="firstRow">
      <w:rPr>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000000" w:themeFill="text1" w:themeFillShade="BF"/>
      </w:tcPr>
    </w:tblStylePr>
    <w:tblStylePr w:type="band1Vert">
      <w:tblPr>
        <w:tblLayout w:type="fixed"/>
      </w:tblPr>
      <w:tcPr>
        <w:shd w:val="clear" w:color="auto" w:fill="999999" w:themeFill="text1" w:themeFillTint="66"/>
      </w:tcPr>
    </w:tblStylePr>
    <w:tblStylePr w:type="band1Horz">
      <w:tblPr>
        <w:tblLayout w:type="fixed"/>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EDF2F8" w:themeFill="accent1" w:themeFillTint="19"/>
    </w:tcPr>
    <w:tblStylePr w:type="firstRow">
      <w:rPr>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2B4D74" w:themeFill="accent1" w:themeFillShade="99"/>
      </w:tcPr>
    </w:tblStylePr>
    <w:tblStylePr w:type="band1Vert">
      <w:tblPr>
        <w:tblLayout w:type="fixed"/>
      </w:tblPr>
      <w:tcPr>
        <w:shd w:val="clear" w:color="auto" w:fill="B8CCE4" w:themeFill="accent1" w:themeFillTint="66"/>
      </w:tcPr>
    </w:tblStylePr>
    <w:tblStylePr w:type="band1Horz">
      <w:tblPr>
        <w:tblLayout w:type="fixed"/>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8EDED" w:themeFill="accent2" w:themeFillTint="19"/>
    </w:tcPr>
    <w:tblStylePr w:type="firstRow">
      <w:rPr>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772C2A" w:themeFill="accent2" w:themeFillShade="99"/>
      </w:tcPr>
    </w:tblStylePr>
    <w:tblStylePr w:type="band1Vert">
      <w:tblPr>
        <w:tblLayout w:type="fixed"/>
      </w:tblPr>
      <w:tcPr>
        <w:shd w:val="clear" w:color="auto" w:fill="E5B8B7" w:themeFill="accent2" w:themeFillTint="66"/>
      </w:tcPr>
    </w:tblStylePr>
    <w:tblStylePr w:type="band1Horz">
      <w:tblPr>
        <w:tblLayout w:type="fixed"/>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5F8EE" w:themeFill="accent3" w:themeFillTint="19"/>
    </w:tcPr>
    <w:tblStylePr w:type="firstRow">
      <w:rPr>
        <w:b/>
        <w:bCs/>
      </w:rPr>
      <w:tblPr>
        <w:tblLayout w:type="fixed"/>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5E7530" w:themeFill="accent3" w:themeFillShade="99"/>
      </w:tcPr>
    </w:tblStylePr>
    <w:tblStylePr w:type="band1Vert">
      <w:tblPr>
        <w:tblLayout w:type="fixed"/>
      </w:tblPr>
      <w:tcPr>
        <w:shd w:val="clear" w:color="auto" w:fill="D6E3BC" w:themeFill="accent3" w:themeFillTint="66"/>
      </w:tcPr>
    </w:tblStylePr>
    <w:tblStylePr w:type="band1Horz">
      <w:tblPr>
        <w:tblLayout w:type="fixed"/>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2EFF5" w:themeFill="accent4" w:themeFillTint="19"/>
    </w:tcPr>
    <w:tblStylePr w:type="firstRow">
      <w:rPr>
        <w:b/>
        <w:bCs/>
      </w:rPr>
      <w:tblPr>
        <w:tblLayout w:type="fixed"/>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4C3A62" w:themeFill="accent4" w:themeFillShade="99"/>
      </w:tcPr>
    </w:tblStylePr>
    <w:tblStylePr w:type="band1Vert">
      <w:tblPr>
        <w:tblLayout w:type="fixed"/>
      </w:tblPr>
      <w:tcPr>
        <w:shd w:val="clear" w:color="auto" w:fill="CCC0D9" w:themeFill="accent4" w:themeFillTint="66"/>
      </w:tcPr>
    </w:tblStylePr>
    <w:tblStylePr w:type="band1Horz">
      <w:tblPr>
        <w:tblLayout w:type="fixed"/>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EDF6F9" w:themeFill="accent5" w:themeFillTint="19"/>
    </w:tcPr>
    <w:tblStylePr w:type="firstRow">
      <w:rPr>
        <w:b/>
        <w:bCs/>
      </w:rPr>
      <w:tblPr>
        <w:tblLayout w:type="fixed"/>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276A7C" w:themeFill="accent5" w:themeFillShade="99"/>
      </w:tcPr>
    </w:tblStylePr>
    <w:tblStylePr w:type="band1Vert">
      <w:tblPr>
        <w:tblLayout w:type="fixed"/>
      </w:tblPr>
      <w:tcPr>
        <w:shd w:val="clear" w:color="auto" w:fill="B6DDE8" w:themeFill="accent5" w:themeFillTint="66"/>
      </w:tcPr>
    </w:tblStylePr>
    <w:tblStylePr w:type="band1Horz">
      <w:tblPr>
        <w:tblLayout w:type="fixed"/>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EF4EC" w:themeFill="accent6" w:themeFillTint="19"/>
    </w:tcPr>
    <w:tblStylePr w:type="firstRow">
      <w:rPr>
        <w:b/>
        <w:bCs/>
      </w:rPr>
      <w:tblPr>
        <w:tblLayout w:type="fixed"/>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B65607" w:themeFill="accent6" w:themeFillShade="99"/>
      </w:tcPr>
    </w:tblStylePr>
    <w:tblStylePr w:type="band1Vert">
      <w:tblPr>
        <w:tblLayout w:type="fixed"/>
      </w:tblPr>
      <w:tcPr>
        <w:shd w:val="clear" w:color="auto" w:fill="FBD4B4" w:themeFill="accent6" w:themeFillTint="66"/>
      </w:tcPr>
    </w:tblStylePr>
    <w:tblStylePr w:type="band1Horz">
      <w:tblPr>
        <w:tblLayout w:type="fixed"/>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BFBFBF" w:themeFill="text1" w:themeFillTint="3F"/>
      </w:tcPr>
    </w:tblStylePr>
    <w:tblStylePr w:type="band1Horz">
      <w:tblPr>
        <w:tblLayout w:type="fixed"/>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3DFEE" w:themeFill="accent1" w:themeFillTint="3F"/>
      </w:tcPr>
    </w:tblStylePr>
    <w:tblStylePr w:type="band1Horz">
      <w:tblPr>
        <w:tblLayout w:type="fixed"/>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EFD3D3" w:themeFill="accent2" w:themeFillTint="3F"/>
      </w:tcPr>
    </w:tblStylePr>
    <w:tblStylePr w:type="band1Horz">
      <w:tblPr>
        <w:tblLayout w:type="fixed"/>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E6EED5" w:themeFill="accent3" w:themeFillTint="3F"/>
      </w:tcPr>
    </w:tblStylePr>
    <w:tblStylePr w:type="band1Horz">
      <w:tblPr>
        <w:tblLayout w:type="fixed"/>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FD8E8" w:themeFill="accent4" w:themeFillTint="3F"/>
      </w:tcPr>
    </w:tblStylePr>
    <w:tblStylePr w:type="band1Horz">
      <w:tblPr>
        <w:tblLayout w:type="fixed"/>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2EAF0" w:themeFill="accent5" w:themeFillTint="3F"/>
      </w:tcPr>
    </w:tblStylePr>
    <w:tblStylePr w:type="band1Horz">
      <w:tblPr>
        <w:tblLayout w:type="fixed"/>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FDE5D1" w:themeFill="accent6" w:themeFillTint="3F"/>
      </w:tcPr>
    </w:tblStylePr>
    <w:tblStylePr w:type="band1Horz">
      <w:tblPr>
        <w:tblLayout w:type="fixed"/>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CCCCCC" w:themeFill="text1" w:themeFillTint="33"/>
    </w:tcPr>
    <w:tblStylePr w:type="firstRow">
      <w:rPr>
        <w:b/>
        <w:bCs/>
      </w:rPr>
      <w:tblPr>
        <w:tblLayout w:type="fixed"/>
      </w:tblPr>
      <w:tcPr>
        <w:shd w:val="clear" w:color="auto" w:fill="999999" w:themeFill="text1" w:themeFillTint="66"/>
      </w:tcPr>
    </w:tblStylePr>
    <w:tblStylePr w:type="lastRow">
      <w:rPr>
        <w:b/>
        <w:bCs/>
        <w:color w:val="000000" w:themeColor="text1"/>
        <w14:textFill>
          <w14:solidFill>
            <w14:schemeClr w14:val="tx1"/>
          </w14:solidFill>
        </w14:textFill>
      </w:rPr>
      <w:tblPr>
        <w:tblLayout w:type="fixed"/>
      </w:tblPr>
      <w:tcPr>
        <w:shd w:val="clear" w:color="auto" w:fill="999999" w:themeFill="text1" w:themeFillTint="66"/>
      </w:tcPr>
    </w:tblStylePr>
    <w:tblStylePr w:type="firstCol">
      <w:rPr>
        <w:color w:val="FFFFFF" w:themeColor="background1"/>
        <w14:textFill>
          <w14:solidFill>
            <w14:schemeClr w14:val="bg1"/>
          </w14:solidFill>
        </w14:textFill>
      </w:rPr>
      <w:tblPr>
        <w:tblLayout w:type="fixed"/>
      </w:tblPr>
      <w:tcPr>
        <w:shd w:val="clear" w:color="auto" w:fill="000000" w:themeFill="text1" w:themeFillShade="BF"/>
      </w:tcPr>
    </w:tblStylePr>
    <w:tblStylePr w:type="lastCol">
      <w:rPr>
        <w:color w:val="FFFFFF" w:themeColor="background1"/>
        <w14:textFill>
          <w14:solidFill>
            <w14:schemeClr w14:val="bg1"/>
          </w14:solidFill>
        </w14:textFill>
      </w:rPr>
      <w:tblPr>
        <w:tblLayout w:type="fixed"/>
      </w:tblPr>
      <w:tcPr>
        <w:shd w:val="clear" w:color="auto" w:fill="000000" w:themeFill="text1" w:themeFillShade="BF"/>
      </w:tcPr>
    </w:tblStylePr>
    <w:tblStylePr w:type="band1Vert">
      <w:tblPr>
        <w:tblLayout w:type="fixed"/>
      </w:tblPr>
      <w:tcPr>
        <w:shd w:val="clear" w:color="auto" w:fill="7F7F7F" w:themeFill="text1" w:themeFillTint="7F"/>
      </w:tcPr>
    </w:tblStylePr>
    <w:tblStylePr w:type="band1Horz">
      <w:tblPr>
        <w:tblLayout w:type="fixed"/>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DBE5F1" w:themeFill="accent1" w:themeFillTint="33"/>
    </w:tcPr>
    <w:tblStylePr w:type="firstRow">
      <w:rPr>
        <w:b/>
        <w:bCs/>
      </w:rPr>
      <w:tblPr>
        <w:tblLayout w:type="fixed"/>
      </w:tblPr>
      <w:tcPr>
        <w:shd w:val="clear" w:color="auto" w:fill="B8CCE4" w:themeFill="accent1" w:themeFillTint="66"/>
      </w:tcPr>
    </w:tblStylePr>
    <w:tblStylePr w:type="lastRow">
      <w:rPr>
        <w:b/>
        <w:bCs/>
        <w:color w:val="000000" w:themeColor="text1"/>
        <w14:textFill>
          <w14:solidFill>
            <w14:schemeClr w14:val="tx1"/>
          </w14:solidFill>
        </w14:textFill>
      </w:rPr>
      <w:tblPr>
        <w:tblLayout w:type="fixed"/>
      </w:tblPr>
      <w:tcPr>
        <w:shd w:val="clear" w:color="auto" w:fill="B8CCE4" w:themeFill="accent1" w:themeFillTint="66"/>
      </w:tcPr>
    </w:tblStylePr>
    <w:tblStylePr w:type="firstCol">
      <w:rPr>
        <w:color w:val="FFFFFF" w:themeColor="background1"/>
        <w14:textFill>
          <w14:solidFill>
            <w14:schemeClr w14:val="bg1"/>
          </w14:solidFill>
        </w14:textFill>
      </w:rPr>
      <w:tblPr>
        <w:tblLayout w:type="fixed"/>
      </w:tblPr>
      <w:tcPr>
        <w:shd w:val="clear" w:color="auto" w:fill="366091" w:themeFill="accent1" w:themeFillShade="BF"/>
      </w:tcPr>
    </w:tblStylePr>
    <w:tblStylePr w:type="lastCol">
      <w:rPr>
        <w:color w:val="FFFFFF" w:themeColor="background1"/>
        <w14:textFill>
          <w14:solidFill>
            <w14:schemeClr w14:val="bg1"/>
          </w14:solidFill>
        </w14:textFill>
      </w:rPr>
      <w:tblPr>
        <w:tblLayout w:type="fixed"/>
      </w:tblPr>
      <w:tcPr>
        <w:shd w:val="clear" w:color="auto" w:fill="366091" w:themeFill="accent1" w:themeFillShade="BF"/>
      </w:tcPr>
    </w:tblStylePr>
    <w:tblStylePr w:type="band1Vert">
      <w:tblPr>
        <w:tblLayout w:type="fixed"/>
      </w:tblPr>
      <w:tcPr>
        <w:shd w:val="clear" w:color="auto" w:fill="A7C0DE" w:themeFill="accent1" w:themeFillTint="7F"/>
      </w:tcPr>
    </w:tblStylePr>
    <w:tblStylePr w:type="band1Horz">
      <w:tblPr>
        <w:tblLayout w:type="fixed"/>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F2DBDB" w:themeFill="accent2" w:themeFillTint="33"/>
    </w:tcPr>
    <w:tblStylePr w:type="firstRow">
      <w:rPr>
        <w:b/>
        <w:bCs/>
      </w:rPr>
      <w:tblPr>
        <w:tblLayout w:type="fixed"/>
      </w:tblPr>
      <w:tcPr>
        <w:shd w:val="clear" w:color="auto" w:fill="E5B8B7" w:themeFill="accent2" w:themeFillTint="66"/>
      </w:tcPr>
    </w:tblStylePr>
    <w:tblStylePr w:type="lastRow">
      <w:rPr>
        <w:b/>
        <w:bCs/>
        <w:color w:val="000000" w:themeColor="text1"/>
        <w14:textFill>
          <w14:solidFill>
            <w14:schemeClr w14:val="tx1"/>
          </w14:solidFill>
        </w14:textFill>
      </w:rPr>
      <w:tblPr>
        <w:tblLayout w:type="fixed"/>
      </w:tblPr>
      <w:tcPr>
        <w:shd w:val="clear" w:color="auto" w:fill="E5B8B7" w:themeFill="accent2" w:themeFillTint="66"/>
      </w:tcPr>
    </w:tblStylePr>
    <w:tblStylePr w:type="firstCol">
      <w:rPr>
        <w:color w:val="FFFFFF" w:themeColor="background1"/>
        <w14:textFill>
          <w14:solidFill>
            <w14:schemeClr w14:val="bg1"/>
          </w14:solidFill>
        </w14:textFill>
      </w:rPr>
      <w:tblPr>
        <w:tblLayout w:type="fixed"/>
      </w:tblPr>
      <w:tcPr>
        <w:shd w:val="clear" w:color="auto" w:fill="943734" w:themeFill="accent2" w:themeFillShade="BF"/>
      </w:tcPr>
    </w:tblStylePr>
    <w:tblStylePr w:type="lastCol">
      <w:rPr>
        <w:color w:val="FFFFFF" w:themeColor="background1"/>
        <w14:textFill>
          <w14:solidFill>
            <w14:schemeClr w14:val="bg1"/>
          </w14:solidFill>
        </w14:textFill>
      </w:rPr>
      <w:tblPr>
        <w:tblLayout w:type="fixed"/>
      </w:tblPr>
      <w:tcPr>
        <w:shd w:val="clear" w:color="auto" w:fill="943734" w:themeFill="accent2" w:themeFillShade="BF"/>
      </w:tcPr>
    </w:tblStylePr>
    <w:tblStylePr w:type="band1Vert">
      <w:tblPr>
        <w:tblLayout w:type="fixed"/>
      </w:tblPr>
      <w:tcPr>
        <w:shd w:val="clear" w:color="auto" w:fill="DFA7A6" w:themeFill="accent2" w:themeFillTint="7F"/>
      </w:tcPr>
    </w:tblStylePr>
    <w:tblStylePr w:type="band1Horz">
      <w:tblPr>
        <w:tblLayout w:type="fixed"/>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EAF1DD" w:themeFill="accent3" w:themeFillTint="33"/>
    </w:tcPr>
    <w:tblStylePr w:type="firstRow">
      <w:rPr>
        <w:b/>
        <w:bCs/>
      </w:rPr>
      <w:tblPr>
        <w:tblLayout w:type="fixed"/>
      </w:tblPr>
      <w:tcPr>
        <w:shd w:val="clear" w:color="auto" w:fill="D6E3BC" w:themeFill="accent3" w:themeFillTint="66"/>
      </w:tcPr>
    </w:tblStylePr>
    <w:tblStylePr w:type="lastRow">
      <w:rPr>
        <w:b/>
        <w:bCs/>
        <w:color w:val="000000" w:themeColor="text1"/>
        <w14:textFill>
          <w14:solidFill>
            <w14:schemeClr w14:val="tx1"/>
          </w14:solidFill>
        </w14:textFill>
      </w:rPr>
      <w:tblPr>
        <w:tblLayout w:type="fixed"/>
      </w:tblPr>
      <w:tcPr>
        <w:shd w:val="clear" w:color="auto" w:fill="D6E3BC" w:themeFill="accent3" w:themeFillTint="66"/>
      </w:tcPr>
    </w:tblStylePr>
    <w:tblStylePr w:type="firstCol">
      <w:rPr>
        <w:color w:val="FFFFFF" w:themeColor="background1"/>
        <w14:textFill>
          <w14:solidFill>
            <w14:schemeClr w14:val="bg1"/>
          </w14:solidFill>
        </w14:textFill>
      </w:rPr>
      <w:tblPr>
        <w:tblLayout w:type="fixed"/>
      </w:tblPr>
      <w:tcPr>
        <w:shd w:val="clear" w:color="auto" w:fill="76923C" w:themeFill="accent3" w:themeFillShade="BF"/>
      </w:tcPr>
    </w:tblStylePr>
    <w:tblStylePr w:type="lastCol">
      <w:rPr>
        <w:color w:val="FFFFFF" w:themeColor="background1"/>
        <w14:textFill>
          <w14:solidFill>
            <w14:schemeClr w14:val="bg1"/>
          </w14:solidFill>
        </w14:textFill>
      </w:rPr>
      <w:tblPr>
        <w:tblLayout w:type="fixed"/>
      </w:tblPr>
      <w:tcPr>
        <w:shd w:val="clear" w:color="auto" w:fill="76923C" w:themeFill="accent3" w:themeFillShade="BF"/>
      </w:tcPr>
    </w:tblStylePr>
    <w:tblStylePr w:type="band1Vert">
      <w:tblPr>
        <w:tblLayout w:type="fixed"/>
      </w:tblPr>
      <w:tcPr>
        <w:shd w:val="clear" w:color="auto" w:fill="CDDDAC" w:themeFill="accent3" w:themeFillTint="7F"/>
      </w:tcPr>
    </w:tblStylePr>
    <w:tblStylePr w:type="band1Horz">
      <w:tblPr>
        <w:tblLayout w:type="fixed"/>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E5DFEC" w:themeFill="accent4" w:themeFillTint="33"/>
    </w:tcPr>
    <w:tblStylePr w:type="firstRow">
      <w:rPr>
        <w:b/>
        <w:bCs/>
      </w:rPr>
      <w:tblPr>
        <w:tblLayout w:type="fixed"/>
      </w:tblPr>
      <w:tcPr>
        <w:shd w:val="clear" w:color="auto" w:fill="CCC0D9" w:themeFill="accent4" w:themeFillTint="66"/>
      </w:tcPr>
    </w:tblStylePr>
    <w:tblStylePr w:type="lastRow">
      <w:rPr>
        <w:b/>
        <w:bCs/>
        <w:color w:val="000000" w:themeColor="text1"/>
        <w14:textFill>
          <w14:solidFill>
            <w14:schemeClr w14:val="tx1"/>
          </w14:solidFill>
        </w14:textFill>
      </w:rPr>
      <w:tblPr>
        <w:tblLayout w:type="fixed"/>
      </w:tblPr>
      <w:tcPr>
        <w:shd w:val="clear" w:color="auto" w:fill="CCC0D9" w:themeFill="accent4" w:themeFillTint="66"/>
      </w:tcPr>
    </w:tblStylePr>
    <w:tblStylePr w:type="firstCol">
      <w:rPr>
        <w:color w:val="FFFFFF" w:themeColor="background1"/>
        <w14:textFill>
          <w14:solidFill>
            <w14:schemeClr w14:val="bg1"/>
          </w14:solidFill>
        </w14:textFill>
      </w:rPr>
      <w:tblPr>
        <w:tblLayout w:type="fixed"/>
      </w:tblPr>
      <w:tcPr>
        <w:shd w:val="clear" w:color="auto" w:fill="5F497A" w:themeFill="accent4" w:themeFillShade="BF"/>
      </w:tcPr>
    </w:tblStylePr>
    <w:tblStylePr w:type="lastCol">
      <w:rPr>
        <w:color w:val="FFFFFF" w:themeColor="background1"/>
        <w14:textFill>
          <w14:solidFill>
            <w14:schemeClr w14:val="bg1"/>
          </w14:solidFill>
        </w14:textFill>
      </w:rPr>
      <w:tblPr>
        <w:tblLayout w:type="fixed"/>
      </w:tblPr>
      <w:tcPr>
        <w:shd w:val="clear" w:color="auto" w:fill="5F497A" w:themeFill="accent4" w:themeFillShade="BF"/>
      </w:tcPr>
    </w:tblStylePr>
    <w:tblStylePr w:type="band1Vert">
      <w:tblPr>
        <w:tblLayout w:type="fixed"/>
      </w:tblPr>
      <w:tcPr>
        <w:shd w:val="clear" w:color="auto" w:fill="BFB1D0" w:themeFill="accent4" w:themeFillTint="7F"/>
      </w:tcPr>
    </w:tblStylePr>
    <w:tblStylePr w:type="band1Horz">
      <w:tblPr>
        <w:tblLayout w:type="fixed"/>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DAEEF3" w:themeFill="accent5" w:themeFillTint="33"/>
    </w:tcPr>
    <w:tblStylePr w:type="firstRow">
      <w:rPr>
        <w:b/>
        <w:bCs/>
      </w:rPr>
      <w:tblPr>
        <w:tblLayout w:type="fixed"/>
      </w:tblPr>
      <w:tcPr>
        <w:shd w:val="clear" w:color="auto" w:fill="B6DDE8" w:themeFill="accent5" w:themeFillTint="66"/>
      </w:tcPr>
    </w:tblStylePr>
    <w:tblStylePr w:type="lastRow">
      <w:rPr>
        <w:b/>
        <w:bCs/>
        <w:color w:val="000000" w:themeColor="text1"/>
        <w14:textFill>
          <w14:solidFill>
            <w14:schemeClr w14:val="tx1"/>
          </w14:solidFill>
        </w14:textFill>
      </w:rPr>
      <w:tblPr>
        <w:tblLayout w:type="fixed"/>
      </w:tblPr>
      <w:tcPr>
        <w:shd w:val="clear" w:color="auto" w:fill="B6DDE8" w:themeFill="accent5" w:themeFillTint="66"/>
      </w:tcPr>
    </w:tblStylePr>
    <w:tblStylePr w:type="firstCol">
      <w:rPr>
        <w:color w:val="FFFFFF" w:themeColor="background1"/>
        <w14:textFill>
          <w14:solidFill>
            <w14:schemeClr w14:val="bg1"/>
          </w14:solidFill>
        </w14:textFill>
      </w:rPr>
      <w:tblPr>
        <w:tblLayout w:type="fixed"/>
      </w:tblPr>
      <w:tcPr>
        <w:shd w:val="clear" w:color="auto" w:fill="31849B" w:themeFill="accent5" w:themeFillShade="BF"/>
      </w:tcPr>
    </w:tblStylePr>
    <w:tblStylePr w:type="lastCol">
      <w:rPr>
        <w:color w:val="FFFFFF" w:themeColor="background1"/>
        <w14:textFill>
          <w14:solidFill>
            <w14:schemeClr w14:val="bg1"/>
          </w14:solidFill>
        </w14:textFill>
      </w:rPr>
      <w:tblPr>
        <w:tblLayout w:type="fixed"/>
      </w:tblPr>
      <w:tcPr>
        <w:shd w:val="clear" w:color="auto" w:fill="31849B" w:themeFill="accent5" w:themeFillShade="BF"/>
      </w:tcPr>
    </w:tblStylePr>
    <w:tblStylePr w:type="band1Vert">
      <w:tblPr>
        <w:tblLayout w:type="fixed"/>
      </w:tblPr>
      <w:tcPr>
        <w:shd w:val="clear" w:color="auto" w:fill="A5D5E2" w:themeFill="accent5" w:themeFillTint="7F"/>
      </w:tcPr>
    </w:tblStylePr>
    <w:tblStylePr w:type="band1Horz">
      <w:tblPr>
        <w:tblLayout w:type="fixed"/>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FDE9D9" w:themeFill="accent6" w:themeFillTint="33"/>
    </w:tcPr>
    <w:tblStylePr w:type="firstRow">
      <w:rPr>
        <w:b/>
        <w:bCs/>
      </w:rPr>
      <w:tblPr>
        <w:tblLayout w:type="fixed"/>
      </w:tblPr>
      <w:tcPr>
        <w:shd w:val="clear" w:color="auto" w:fill="FBD4B4" w:themeFill="accent6" w:themeFillTint="66"/>
      </w:tcPr>
    </w:tblStylePr>
    <w:tblStylePr w:type="lastRow">
      <w:rPr>
        <w:b/>
        <w:bCs/>
        <w:color w:val="000000" w:themeColor="text1"/>
        <w14:textFill>
          <w14:solidFill>
            <w14:schemeClr w14:val="tx1"/>
          </w14:solidFill>
        </w14:textFill>
      </w:rPr>
      <w:tblPr>
        <w:tblLayout w:type="fixed"/>
      </w:tblPr>
      <w:tcPr>
        <w:shd w:val="clear" w:color="auto" w:fill="FBD4B4" w:themeFill="accent6" w:themeFillTint="66"/>
      </w:tcPr>
    </w:tblStylePr>
    <w:tblStylePr w:type="firstCol">
      <w:rPr>
        <w:color w:val="FFFFFF" w:themeColor="background1"/>
        <w14:textFill>
          <w14:solidFill>
            <w14:schemeClr w14:val="bg1"/>
          </w14:solidFill>
        </w14:textFill>
      </w:rPr>
      <w:tblPr>
        <w:tblLayout w:type="fixed"/>
      </w:tblPr>
      <w:tcPr>
        <w:shd w:val="clear" w:color="auto" w:fill="E36C09" w:themeFill="accent6" w:themeFillShade="BF"/>
      </w:tcPr>
    </w:tblStylePr>
    <w:tblStylePr w:type="lastCol">
      <w:rPr>
        <w:color w:val="FFFFFF" w:themeColor="background1"/>
        <w14:textFill>
          <w14:solidFill>
            <w14:schemeClr w14:val="bg1"/>
          </w14:solidFill>
        </w14:textFill>
      </w:rPr>
      <w:tblPr>
        <w:tblLayout w:type="fixed"/>
      </w:tblPr>
      <w:tcPr>
        <w:shd w:val="clear" w:color="auto" w:fill="E36C09" w:themeFill="accent6" w:themeFillShade="BF"/>
      </w:tcPr>
    </w:tblStylePr>
    <w:tblStylePr w:type="band1Vert">
      <w:tblPr>
        <w:tblLayout w:type="fixed"/>
      </w:tblPr>
      <w:tcPr>
        <w:shd w:val="clear" w:color="auto" w:fill="FBCAA2" w:themeFill="accent6" w:themeFillTint="7F"/>
      </w:tcPr>
    </w:tblStylePr>
    <w:tblStylePr w:type="band1Horz">
      <w:tblPr>
        <w:tblLayout w:type="fixed"/>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qFormat/>
    <w:uiPriority w:val="99"/>
  </w:style>
  <w:style w:type="character" w:customStyle="1" w:styleId="137">
    <w:name w:val="Footer Char"/>
    <w:basedOn w:val="133"/>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uiPriority w:val="99"/>
  </w:style>
  <w:style w:type="character" w:customStyle="1" w:styleId="146">
    <w:name w:val="Body Text 2 Char"/>
    <w:basedOn w:val="133"/>
    <w:link w:val="28"/>
    <w:uiPriority w:val="99"/>
  </w:style>
  <w:style w:type="character" w:customStyle="1" w:styleId="147">
    <w:name w:val="Body Text 3 Char"/>
    <w:basedOn w:val="133"/>
    <w:link w:val="17"/>
    <w:uiPriority w:val="99"/>
    <w:rPr>
      <w:sz w:val="16"/>
      <w:szCs w:val="16"/>
    </w:rPr>
  </w:style>
  <w:style w:type="character" w:customStyle="1" w:styleId="148">
    <w:name w:val="Macro Text Char"/>
    <w:basedOn w:val="133"/>
    <w:link w:val="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 w:type="paragraph" w:customStyle="1" w:styleId="165">
    <w:name w:val="TitleCN"/>
    <w:uiPriority w:val="0"/>
    <w:pPr>
      <w:spacing w:after="120" w:line="288" w:lineRule="auto"/>
      <w:jc w:val="center"/>
    </w:pPr>
    <w:rPr>
      <w:rFonts w:ascii="Times New Roman" w:hAnsi="Times New Roman" w:eastAsia="宋体" w:cstheme="minorBidi"/>
      <w:b/>
      <w:sz w:val="36"/>
      <w:szCs w:val="22"/>
      <w:lang w:val="en-US" w:eastAsia="en-US" w:bidi="ar-SA"/>
    </w:rPr>
  </w:style>
  <w:style w:type="paragraph" w:customStyle="1" w:styleId="166">
    <w:name w:val="SubtitleCN"/>
    <w:uiPriority w:val="0"/>
    <w:pPr>
      <w:spacing w:after="240" w:line="288" w:lineRule="auto"/>
      <w:jc w:val="center"/>
    </w:pPr>
    <w:rPr>
      <w:rFonts w:ascii="Times New Roman" w:hAnsi="Times New Roman" w:eastAsia="宋体" w:cstheme="minorBidi"/>
      <w:b/>
      <w:sz w:val="32"/>
      <w:szCs w:val="22"/>
      <w:lang w:val="en-US" w:eastAsia="en-US" w:bidi="ar-SA"/>
    </w:rPr>
  </w:style>
  <w:style w:type="paragraph" w:customStyle="1" w:styleId="167">
    <w:name w:val="Heading1CN"/>
    <w:qFormat/>
    <w:uiPriority w:val="0"/>
    <w:pPr>
      <w:spacing w:before="240" w:after="120" w:line="288" w:lineRule="auto"/>
    </w:pPr>
    <w:rPr>
      <w:rFonts w:ascii="Times New Roman" w:hAnsi="Times New Roman" w:eastAsia="宋体" w:cstheme="minorBidi"/>
      <w:b/>
      <w:sz w:val="32"/>
      <w:szCs w:val="22"/>
      <w:lang w:val="en-US" w:eastAsia="en-US" w:bidi="ar-SA"/>
    </w:rPr>
  </w:style>
  <w:style w:type="paragraph" w:customStyle="1" w:styleId="168">
    <w:name w:val="Heading2CN"/>
    <w:uiPriority w:val="0"/>
    <w:pPr>
      <w:spacing w:before="200" w:after="80" w:line="288" w:lineRule="auto"/>
    </w:pPr>
    <w:rPr>
      <w:rFonts w:ascii="Times New Roman" w:hAnsi="Times New Roman" w:eastAsia="宋体" w:cstheme="minorBidi"/>
      <w:b/>
      <w:sz w:val="28"/>
      <w:szCs w:val="22"/>
      <w:lang w:val="en-US" w:eastAsia="en-US" w:bidi="ar-SA"/>
    </w:rPr>
  </w:style>
  <w:style w:type="paragraph" w:customStyle="1" w:styleId="169">
    <w:name w:val="Heading3CN"/>
    <w:uiPriority w:val="0"/>
    <w:pPr>
      <w:spacing w:before="160" w:after="40" w:line="288" w:lineRule="auto"/>
    </w:pPr>
    <w:rPr>
      <w:rFonts w:ascii="Times New Roman" w:hAnsi="Times New Roman" w:eastAsia="宋体" w:cstheme="minorBidi"/>
      <w:b/>
      <w:sz w:val="24"/>
      <w:szCs w:val="22"/>
      <w:lang w:val="en-US" w:eastAsia="en-US" w:bidi="ar-SA"/>
    </w:rPr>
  </w:style>
  <w:style w:type="paragraph" w:customStyle="1" w:styleId="170">
    <w:name w:val="Heading4CN"/>
    <w:uiPriority w:val="0"/>
    <w:pPr>
      <w:spacing w:before="120" w:after="40" w:line="288" w:lineRule="auto"/>
    </w:pPr>
    <w:rPr>
      <w:rFonts w:ascii="Times New Roman" w:hAnsi="Times New Roman" w:eastAsia="宋体" w:cstheme="minorBidi"/>
      <w:b/>
      <w:sz w:val="24"/>
      <w:szCs w:val="22"/>
      <w:lang w:val="en-US" w:eastAsia="en-US" w:bidi="ar-SA"/>
    </w:rPr>
  </w:style>
  <w:style w:type="paragraph" w:customStyle="1" w:styleId="171">
    <w:name w:val="BodyCN"/>
    <w:uiPriority w:val="0"/>
    <w:pPr>
      <w:spacing w:after="120" w:line="360" w:lineRule="auto"/>
      <w:ind w:firstLine="420"/>
    </w:pPr>
    <w:rPr>
      <w:rFonts w:ascii="Times New Roman" w:hAnsi="Times New Roman" w:eastAsia="宋体" w:cstheme="minorBidi"/>
      <w:sz w:val="24"/>
      <w:szCs w:val="22"/>
      <w:lang w:val="en-US" w:eastAsia="en-US" w:bidi="ar-SA"/>
    </w:rPr>
  </w:style>
  <w:style w:type="paragraph" w:customStyle="1" w:styleId="172">
    <w:name w:val="FormulaCN"/>
    <w:uiPriority w:val="0"/>
    <w:pPr>
      <w:spacing w:before="0" w:after="0" w:line="288" w:lineRule="auto"/>
      <w:ind w:firstLine="0"/>
      <w:jc w:val="center"/>
    </w:pPr>
    <w:rPr>
      <w:rFonts w:ascii="Cambria Math" w:hAnsi="Cambria Math" w:eastAsia="宋体" w:cstheme="minorBidi"/>
      <w:sz w:val="24"/>
      <w:szCs w:val="22"/>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1</Lines>
  <Paragraphs>1</Paragraphs>
  <TotalTime>19</TotalTime>
  <ScaleCrop>false</ScaleCrop>
  <LinksUpToDate>false</LinksUpToDate>
  <CharactersWithSpaces>0</CharactersWithSpaces>
  <Application>WPS Office_11.8.2.8506_F1E327BC-269C-435d-A152-05C5408002CA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GoJoGo</cp:lastModifiedBy>
  <dcterms:modified xsi:type="dcterms:W3CDTF">2026-02-20T10:06:48Z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2052-11.8.2.8506</vt:lpwstr>
  </property>
</Properties>
</file>