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2D0A" w:rsidRPr="00C21790" w:rsidRDefault="00EE1B0F" w:rsidP="00C21790">
      <w:pPr>
        <w:pStyle w:val="normal0"/>
        <w:spacing w:after="80"/>
        <w:ind w:left="7200"/>
        <w:jc w:val="center"/>
        <w:rPr>
          <w:rFonts w:ascii="Arial Rounded MT Bold" w:eastAsia="Times New Roman" w:hAnsi="Arial Rounded MT Bold" w:cs="Times New Roman"/>
          <w:sz w:val="52"/>
          <w:szCs w:val="52"/>
        </w:rPr>
      </w:pPr>
      <w:r w:rsidRPr="00C21790">
        <w:rPr>
          <w:rFonts w:ascii="Arial Rounded MT Bold" w:eastAsia="Times New Roman" w:hAnsi="Arial Rounded MT Bold" w:cs="Times New Roman"/>
          <w:b/>
          <w:sz w:val="52"/>
          <w:szCs w:val="52"/>
        </w:rPr>
        <w:t>(FORM D)</w:t>
      </w:r>
    </w:p>
    <w:p w:rsidR="00472D0A" w:rsidRPr="00C21790" w:rsidRDefault="00472D0A" w:rsidP="00C21790">
      <w:pPr>
        <w:pStyle w:val="normal0"/>
        <w:jc w:val="center"/>
        <w:rPr>
          <w:rFonts w:ascii="Arial Rounded MT Bold" w:eastAsia="Times New Roman" w:hAnsi="Arial Rounded MT Bold" w:cs="Times New Roman"/>
          <w:sz w:val="52"/>
          <w:szCs w:val="52"/>
        </w:rPr>
      </w:pPr>
    </w:p>
    <w:p w:rsidR="00472D0A" w:rsidRPr="00C21790" w:rsidRDefault="00EE1B0F" w:rsidP="00C21790">
      <w:pPr>
        <w:pStyle w:val="normal0"/>
        <w:spacing w:after="80"/>
        <w:jc w:val="center"/>
        <w:rPr>
          <w:rFonts w:ascii="Arial Rounded MT Bold" w:eastAsia="Times New Roman" w:hAnsi="Arial Rounded MT Bold" w:cs="Times New Roman"/>
          <w:sz w:val="52"/>
          <w:szCs w:val="52"/>
        </w:rPr>
      </w:pPr>
      <w:r w:rsidRPr="00C21790">
        <w:rPr>
          <w:rFonts w:ascii="Arial Rounded MT Bold" w:eastAsia="Times New Roman" w:hAnsi="Arial Rounded MT Bold" w:cs="Times New Roman"/>
          <w:b/>
          <w:sz w:val="52"/>
          <w:szCs w:val="52"/>
        </w:rPr>
        <w:t>ACCREDITATION GUIDELINES OF THE MEDICAL REHABILITATION THERAPISTS (REGISTRATION) BOARD OF NIGERIA</w:t>
      </w:r>
    </w:p>
    <w:p w:rsidR="00472D0A" w:rsidRPr="00C21790" w:rsidRDefault="00472D0A" w:rsidP="00C21790">
      <w:pPr>
        <w:pStyle w:val="normal0"/>
        <w:tabs>
          <w:tab w:val="left" w:pos="1695"/>
        </w:tabs>
        <w:jc w:val="center"/>
        <w:rPr>
          <w:rFonts w:ascii="Arial Rounded MT Bold" w:eastAsia="Times New Roman" w:hAnsi="Arial Rounded MT Bold" w:cs="Times New Roman"/>
          <w:sz w:val="52"/>
          <w:szCs w:val="52"/>
        </w:rPr>
      </w:pPr>
    </w:p>
    <w:p w:rsidR="00472D0A" w:rsidRPr="00C21790" w:rsidRDefault="00EE1B0F" w:rsidP="00C21790">
      <w:pPr>
        <w:pStyle w:val="normal0"/>
        <w:spacing w:after="80"/>
        <w:jc w:val="center"/>
        <w:rPr>
          <w:rFonts w:ascii="Arial Rounded MT Bold" w:eastAsia="Times New Roman" w:hAnsi="Arial Rounded MT Bold" w:cs="Times New Roman"/>
          <w:sz w:val="52"/>
          <w:szCs w:val="52"/>
        </w:rPr>
      </w:pPr>
      <w:r w:rsidRPr="00C21790">
        <w:rPr>
          <w:rFonts w:ascii="Arial Rounded MT Bold" w:eastAsia="Times New Roman" w:hAnsi="Arial Rounded MT Bold" w:cs="Times New Roman"/>
          <w:b/>
          <w:sz w:val="52"/>
          <w:szCs w:val="52"/>
        </w:rPr>
        <w:t>FOR</w:t>
      </w:r>
    </w:p>
    <w:p w:rsidR="00472D0A" w:rsidRPr="00C21790" w:rsidRDefault="00472D0A" w:rsidP="00C21790">
      <w:pPr>
        <w:pStyle w:val="normal0"/>
        <w:jc w:val="center"/>
        <w:rPr>
          <w:rFonts w:ascii="Arial Rounded MT Bold" w:eastAsia="Times New Roman" w:hAnsi="Arial Rounded MT Bold" w:cs="Times New Roman"/>
          <w:sz w:val="52"/>
          <w:szCs w:val="52"/>
        </w:rPr>
      </w:pPr>
    </w:p>
    <w:p w:rsidR="00472D0A" w:rsidRPr="00C21790" w:rsidRDefault="00EE1B0F" w:rsidP="00C21790">
      <w:pPr>
        <w:pStyle w:val="normal0"/>
        <w:spacing w:after="80"/>
        <w:jc w:val="center"/>
        <w:rPr>
          <w:rFonts w:ascii="Arial Rounded MT Bold" w:eastAsia="Times New Roman" w:hAnsi="Arial Rounded MT Bold" w:cs="Times New Roman"/>
          <w:sz w:val="52"/>
          <w:szCs w:val="52"/>
        </w:rPr>
      </w:pPr>
      <w:r w:rsidRPr="00C21790">
        <w:rPr>
          <w:rFonts w:ascii="Arial Rounded MT Bold" w:eastAsia="Times New Roman" w:hAnsi="Arial Rounded MT Bold" w:cs="Times New Roman"/>
          <w:b/>
          <w:sz w:val="52"/>
          <w:szCs w:val="52"/>
        </w:rPr>
        <w:t>UNIVERSITIES OFFERING THE OCCUPATIONAL THERAPY PROGRAMME</w:t>
      </w:r>
    </w:p>
    <w:p w:rsidR="00472D0A" w:rsidRPr="00C21790" w:rsidRDefault="00472D0A" w:rsidP="00C21790">
      <w:pPr>
        <w:pStyle w:val="normal0"/>
        <w:jc w:val="center"/>
        <w:rPr>
          <w:rFonts w:ascii="Arial Rounded MT Bold" w:eastAsia="Times New Roman" w:hAnsi="Arial Rounded MT Bold" w:cs="Times New Roman"/>
          <w:sz w:val="52"/>
          <w:szCs w:val="52"/>
        </w:rPr>
      </w:pPr>
    </w:p>
    <w:p w:rsidR="00472D0A" w:rsidRPr="00C21790" w:rsidRDefault="00472D0A" w:rsidP="00C21790">
      <w:pPr>
        <w:pStyle w:val="normal0"/>
        <w:jc w:val="center"/>
        <w:rPr>
          <w:rFonts w:ascii="Arial Rounded MT Bold" w:eastAsia="Times New Roman" w:hAnsi="Arial Rounded MT Bold" w:cs="Times New Roman"/>
          <w:sz w:val="52"/>
          <w:szCs w:val="52"/>
        </w:rPr>
      </w:pPr>
    </w:p>
    <w:p w:rsidR="00472D0A" w:rsidRDefault="00EE1B0F" w:rsidP="00C21790">
      <w:pPr>
        <w:pStyle w:val="normal0"/>
        <w:spacing w:after="80"/>
        <w:jc w:val="center"/>
        <w:rPr>
          <w:rFonts w:ascii="Times New Roman" w:eastAsia="Times New Roman" w:hAnsi="Times New Roman" w:cs="Times New Roman"/>
          <w:b/>
          <w:sz w:val="24"/>
          <w:szCs w:val="24"/>
        </w:rPr>
      </w:pPr>
      <w:r w:rsidRPr="00C21790">
        <w:rPr>
          <w:rFonts w:ascii="Arial Rounded MT Bold" w:eastAsia="Times New Roman" w:hAnsi="Arial Rounded MT Bold" w:cs="Times New Roman"/>
          <w:b/>
          <w:sz w:val="52"/>
          <w:szCs w:val="52"/>
        </w:rPr>
        <w:t>ACCREDITATION GUIDELINES FOR UNIVERSITIES OFFERING OCCUPATIONAL THERAPY PROGRAMME IN NIGERIA</w:t>
      </w:r>
      <w:r>
        <w:br w:type="page"/>
      </w: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Introduction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Medical Rehabilitation Therapists (Registration) Board of Nigeria (MRTBN), established by Decree 38 of 1988 / Act M9 LFN 2004, regulates and controls the training and practice of Physiotherapy, Occupational Therapy, Speech Therapy, Audiology, Prosthetics and Orthotics, Chiropractic and Osteopathic Medicine professions in Nigeria.</w:t>
      </w:r>
    </w:p>
    <w:p w:rsidR="00472D0A" w:rsidRPr="00A9655D" w:rsidRDefault="00472D0A" w:rsidP="00C21790">
      <w:pPr>
        <w:pStyle w:val="normal0"/>
        <w:jc w:val="both"/>
        <w:rPr>
          <w:rFonts w:ascii="Times New Roman" w:eastAsia="Times New Roman" w:hAnsi="Times New Roman" w:cs="Times New Roman"/>
          <w:sz w:val="28"/>
          <w:szCs w:val="28"/>
        </w:rPr>
      </w:pP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Aims of the Accreditation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aims of the accreditation of academic programmes by the Medical Rehabilitation Therapists (Registration) Board of Nigeria are to:</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Ensure that the provisions of the Core Curriculum and Minimum Academic Standards document are attained, maintained and enhanced by all institutions running the Occupational Therapy programme.</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Ensure that Occupational Therapists produced attain the clinical competence required to handle patients/clients after graduation.</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Certify graduands with a professional licence to practise as competent and skilful Occupational Therapists after graduation.</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Ensure that high standards are maintained at all times.</w:t>
      </w: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The Accreditation</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Existing Occupational Therapy Programmes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All existing Occupational Therapy programmes MUST apply for re-accreditation at least three (3) months before the expiration of their accreditation status.</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New Occupational Therapy Programmes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 pre-accreditation visit shall be conducted before the admission of the first set of students. The ACCREDITATION exercise MUST be carried out by the third year of the pre-clinical training.</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Certification and Licensing</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After a successful accreditation exercise, the institution shall be issued a certificate/licence of acc</w:t>
      </w:r>
      <w:r w:rsidR="009F4B19" w:rsidRPr="00A9655D">
        <w:rPr>
          <w:rFonts w:ascii="Times New Roman" w:eastAsia="Times New Roman" w:hAnsi="Times New Roman" w:cs="Times New Roman"/>
          <w:sz w:val="28"/>
          <w:szCs w:val="28"/>
        </w:rPr>
        <w:t>reditation, renewable every four</w:t>
      </w:r>
      <w:r w:rsidRPr="00A9655D">
        <w:rPr>
          <w:rFonts w:ascii="Times New Roman" w:eastAsia="Times New Roman" w:hAnsi="Times New Roman" w:cs="Times New Roman"/>
          <w:sz w:val="28"/>
          <w:szCs w:val="28"/>
        </w:rPr>
        <w:t xml:space="preserve"> (</w:t>
      </w:r>
      <w:r w:rsidR="009F4B19" w:rsidRPr="00A9655D">
        <w:rPr>
          <w:rFonts w:ascii="Times New Roman" w:eastAsia="Times New Roman" w:hAnsi="Times New Roman" w:cs="Times New Roman"/>
          <w:sz w:val="28"/>
          <w:szCs w:val="28"/>
        </w:rPr>
        <w:t>4</w:t>
      </w:r>
      <w:r w:rsidRPr="00A9655D">
        <w:rPr>
          <w:rFonts w:ascii="Times New Roman" w:eastAsia="Times New Roman" w:hAnsi="Times New Roman" w:cs="Times New Roman"/>
          <w:sz w:val="28"/>
          <w:szCs w:val="28"/>
        </w:rPr>
        <w:t>) years for full accreditation status, and after t</w:t>
      </w:r>
      <w:r w:rsidR="009F4B19" w:rsidRPr="00A9655D">
        <w:rPr>
          <w:rFonts w:ascii="Times New Roman" w:eastAsia="Times New Roman" w:hAnsi="Times New Roman" w:cs="Times New Roman"/>
          <w:sz w:val="28"/>
          <w:szCs w:val="28"/>
        </w:rPr>
        <w:t>wo</w:t>
      </w:r>
      <w:r w:rsidRPr="00A9655D">
        <w:rPr>
          <w:rFonts w:ascii="Times New Roman" w:eastAsia="Times New Roman" w:hAnsi="Times New Roman" w:cs="Times New Roman"/>
          <w:sz w:val="28"/>
          <w:szCs w:val="28"/>
        </w:rPr>
        <w:t xml:space="preserve"> (</w:t>
      </w:r>
      <w:r w:rsidR="009F4B19" w:rsidRPr="00A9655D">
        <w:rPr>
          <w:rFonts w:ascii="Times New Roman" w:eastAsia="Times New Roman" w:hAnsi="Times New Roman" w:cs="Times New Roman"/>
          <w:sz w:val="28"/>
          <w:szCs w:val="28"/>
        </w:rPr>
        <w:t>2</w:t>
      </w:r>
      <w:r w:rsidRPr="00A9655D">
        <w:rPr>
          <w:rFonts w:ascii="Times New Roman" w:eastAsia="Times New Roman" w:hAnsi="Times New Roman" w:cs="Times New Roman"/>
          <w:sz w:val="28"/>
          <w:szCs w:val="28"/>
        </w:rPr>
        <w:t>) years for partial accreditation status.</w:t>
      </w:r>
    </w:p>
    <w:p w:rsidR="00472D0A"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Board reserves the right to arrange visitation to any institution when there is a valid reason, such as a breach of minimum standards. If the institution is found wanting, sanctions such as denial of induction of graduands and subsequent licensing, or outright de-accreditation of the programme, may be imposed.</w:t>
      </w:r>
    </w:p>
    <w:p w:rsidR="00291F77" w:rsidRDefault="00291F77" w:rsidP="00C21790">
      <w:pPr>
        <w:pStyle w:val="normal0"/>
        <w:spacing w:after="80"/>
        <w:jc w:val="both"/>
        <w:rPr>
          <w:rFonts w:ascii="Times New Roman" w:eastAsia="Times New Roman" w:hAnsi="Times New Roman" w:cs="Times New Roman"/>
          <w:sz w:val="28"/>
          <w:szCs w:val="28"/>
        </w:rPr>
      </w:pPr>
    </w:p>
    <w:p w:rsidR="00291F77" w:rsidRPr="00A9655D" w:rsidRDefault="00291F77" w:rsidP="00C21790">
      <w:pPr>
        <w:pStyle w:val="normal0"/>
        <w:spacing w:after="80"/>
        <w:jc w:val="both"/>
        <w:rPr>
          <w:rFonts w:ascii="Times New Roman" w:eastAsia="Times New Roman" w:hAnsi="Times New Roman" w:cs="Times New Roman"/>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Subsequent Visitations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Programmes that receive full accreditation MUST apply for re-accreditation three (3) months before expiration of the f</w:t>
      </w:r>
      <w:r w:rsidR="009F4B19" w:rsidRPr="00A9655D">
        <w:rPr>
          <w:rFonts w:ascii="Times New Roman" w:eastAsia="Times New Roman" w:hAnsi="Times New Roman" w:cs="Times New Roman"/>
          <w:color w:val="000000"/>
          <w:sz w:val="28"/>
          <w:szCs w:val="28"/>
        </w:rPr>
        <w:t>our</w:t>
      </w:r>
      <w:r w:rsidRPr="00A9655D">
        <w:rPr>
          <w:rFonts w:ascii="Times New Roman" w:eastAsia="Times New Roman" w:hAnsi="Times New Roman" w:cs="Times New Roman"/>
          <w:color w:val="000000"/>
          <w:sz w:val="28"/>
          <w:szCs w:val="28"/>
        </w:rPr>
        <w:t xml:space="preserve"> (</w:t>
      </w:r>
      <w:r w:rsidR="009F4B19" w:rsidRPr="00A9655D">
        <w:rPr>
          <w:rFonts w:ascii="Times New Roman" w:eastAsia="Times New Roman" w:hAnsi="Times New Roman" w:cs="Times New Roman"/>
          <w:color w:val="000000"/>
          <w:sz w:val="28"/>
          <w:szCs w:val="28"/>
        </w:rPr>
        <w:t>4</w:t>
      </w:r>
      <w:r w:rsidRPr="00A9655D">
        <w:rPr>
          <w:rFonts w:ascii="Times New Roman" w:eastAsia="Times New Roman" w:hAnsi="Times New Roman" w:cs="Times New Roman"/>
          <w:color w:val="000000"/>
          <w:sz w:val="28"/>
          <w:szCs w:val="28"/>
        </w:rPr>
        <w:t>) years, at which time their accreditation status would have expired.</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Programmes that receive partial accreditation MUST apply for re-accreditation three (3) months before expiration of the t</w:t>
      </w:r>
      <w:r w:rsidR="009F4B19" w:rsidRPr="00A9655D">
        <w:rPr>
          <w:rFonts w:ascii="Times New Roman" w:eastAsia="Times New Roman" w:hAnsi="Times New Roman" w:cs="Times New Roman"/>
          <w:color w:val="000000"/>
          <w:sz w:val="28"/>
          <w:szCs w:val="28"/>
        </w:rPr>
        <w:t>wo</w:t>
      </w:r>
      <w:r w:rsidRPr="00A9655D">
        <w:rPr>
          <w:rFonts w:ascii="Times New Roman" w:eastAsia="Times New Roman" w:hAnsi="Times New Roman" w:cs="Times New Roman"/>
          <w:color w:val="000000"/>
          <w:sz w:val="28"/>
          <w:szCs w:val="28"/>
        </w:rPr>
        <w:t xml:space="preserve"> (</w:t>
      </w:r>
      <w:r w:rsidR="009F4B19" w:rsidRPr="00A9655D">
        <w:rPr>
          <w:rFonts w:ascii="Times New Roman" w:eastAsia="Times New Roman" w:hAnsi="Times New Roman" w:cs="Times New Roman"/>
          <w:color w:val="000000"/>
          <w:sz w:val="28"/>
          <w:szCs w:val="28"/>
        </w:rPr>
        <w:t>2</w:t>
      </w:r>
      <w:r w:rsidRPr="00A9655D">
        <w:rPr>
          <w:rFonts w:ascii="Times New Roman" w:eastAsia="Times New Roman" w:hAnsi="Times New Roman" w:cs="Times New Roman"/>
          <w:color w:val="000000"/>
          <w:sz w:val="28"/>
          <w:szCs w:val="28"/>
        </w:rPr>
        <w:t>) years, at which time their accreditation status would have expired.</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Programmes that are denied accreditation MUST apply for review within six (6) months to one (1) year. Should a programme receive two (2) consecutive denials, the programme WILL be shut down.</w:t>
      </w: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Key Areas of Consideration during the Accreditation</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Programme Philosophy and Objectives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philosophy and objectives of the programme must be clearly stated in both the curriculum and the student's handbook.</w:t>
      </w:r>
    </w:p>
    <w:p w:rsidR="00EE1B0F" w:rsidRPr="00A9655D" w:rsidRDefault="00EE1B0F" w:rsidP="00C21790">
      <w:pPr>
        <w:pStyle w:val="normal0"/>
        <w:spacing w:after="80"/>
        <w:jc w:val="both"/>
        <w:rPr>
          <w:rFonts w:ascii="Times New Roman" w:eastAsia="Times New Roman" w:hAnsi="Times New Roman" w:cs="Times New Roman"/>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Admission Requirements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admission requirements into the Occupational Therapy programme at all levels of training must be clearly stated in the curriculum and student's handbook, and must be consistent with the standards of Occupational Therapy practice and for Occupational Therapy training.</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 minimum of five (5) credit passes in Physics, Chemistry, Biology, Mathematics and English Language at Senior Secondary Certificate Examination (SSCE) or General Certificate of Education (GCE 'O' level) or its equivalent is a requisite for admission into the Occupational Therapy programme.</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Transfer and post-UTME students must all satisfy the 'O' level requirements.</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Course Contents and Description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course contents and descriptions shall be as outlined in the minimum standards of the Medical Rehabilitation Therapists (Registration) Board of Nigeria.</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Progression in the Programme</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conditions for progression from one level to the next should be clearly stated in the handbook.</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Emphasis should also be placed on failure policies, re-sit examinations, and external examination where applicable.</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Academic Regulation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 xml:space="preserve">Approaches to course evaluation (including lecture schedules, course distributions, lecture notes, students' timetable, continuous assessment, examination, and availability of </w:t>
      </w:r>
      <w:r w:rsidRPr="00A9655D">
        <w:rPr>
          <w:rFonts w:ascii="Times New Roman" w:eastAsia="Times New Roman" w:hAnsi="Times New Roman" w:cs="Times New Roman"/>
          <w:sz w:val="28"/>
          <w:szCs w:val="28"/>
        </w:rPr>
        <w:lastRenderedPageBreak/>
        <w:t>examination timetable, etc.), practical and research project should be clearly captured in the curriculum and the student's handbook.</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External examiners shall be used for moderation during practicals and clinical examinations as well as project defence.</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Duration of the Programme</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programme shall be a minimum of five (5) years.</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Graduation Requirements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Students must successfully complete all required academic and clinical components of the programme, including the research project, before being recommended for graduation.</w:t>
      </w: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Staffing</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Academic Staff</w:t>
      </w:r>
    </w:p>
    <w:p w:rsidR="00472D0A" w:rsidRPr="00A9655D" w:rsidRDefault="00EE1B0F" w:rsidP="00C21790">
      <w:pPr>
        <w:pStyle w:val="normal0"/>
        <w:spacing w:before="160" w:after="100"/>
        <w:jc w:val="both"/>
        <w:rPr>
          <w:rFonts w:ascii="Times New Roman" w:eastAsia="Times New Roman" w:hAnsi="Times New Roman" w:cs="Times New Roman"/>
          <w:b/>
          <w:sz w:val="28"/>
          <w:szCs w:val="28"/>
        </w:rPr>
      </w:pPr>
      <w:r w:rsidRPr="00A9655D">
        <w:rPr>
          <w:rFonts w:ascii="Times New Roman" w:eastAsia="Times New Roman" w:hAnsi="Times New Roman" w:cs="Times New Roman"/>
          <w:b/>
          <w:sz w:val="28"/>
          <w:szCs w:val="28"/>
        </w:rPr>
        <w:t>The Head of Department</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Head of Department must be a Professor or an Associate Professor/Reader or a Senior Lecturer who is a registered and currently licensed Occupational Therapist in Nigeria.</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Lecturer–Student Ratio</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Medical Rehabilitation Therapists (Registration) Board of Nigeria's approved Lecturer-to-Student ratio for the Bachelor of Occupational Therapy degree is 1:10.</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Staff Mix by Rank</w:t>
      </w:r>
    </w:p>
    <w:p w:rsidR="00A9655D"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head shall be assisted by at least thirty (30) other Registered and currently licensed Occupational Therapist as Lecturers with minimum of MSc in Occupational Therapy and Related fields. In addition, the department shall have a minimum of two clinical instructors with a minimum of Bachelors degree in Occupational Therapy.</w:t>
      </w:r>
    </w:p>
    <w:p w:rsidR="00A9655D" w:rsidRPr="00A9655D" w:rsidRDefault="00A9655D" w:rsidP="00C21790">
      <w:pPr>
        <w:pStyle w:val="normal0"/>
        <w:spacing w:after="80"/>
        <w:jc w:val="both"/>
        <w:rPr>
          <w:rFonts w:ascii="Times New Roman" w:eastAsia="Times New Roman" w:hAnsi="Times New Roman" w:cs="Times New Roman"/>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Lecturer Qualification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must be a full complement of lecturers with at least a Master's Degree in Occupational Therapy and related fields, spread across the different Occupational Therapy specialty areas as specified in the approved curriculum.</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Non-Academic Staff</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Occupational Therapy Technicians</w:t>
      </w:r>
    </w:p>
    <w:p w:rsidR="00472D0A"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must be a minimum of four (4) Occupational Therapy technicians in the Occupational Therapy laboratories.</w:t>
      </w:r>
    </w:p>
    <w:p w:rsidR="00291F77" w:rsidRPr="00A9655D" w:rsidRDefault="00291F77" w:rsidP="00C21790">
      <w:pPr>
        <w:pStyle w:val="normal0"/>
        <w:spacing w:after="80"/>
        <w:jc w:val="both"/>
        <w:rPr>
          <w:rFonts w:ascii="Times New Roman" w:eastAsia="Times New Roman" w:hAnsi="Times New Roman" w:cs="Times New Roman"/>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Administrative Staff</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must be a minimum of four (4) secretarial and administrative staff members.</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Support Staff</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must also be cleaners and security personnel assigned to the department.</w:t>
      </w: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Physical Facilities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 purpose-built department in a clean and tidy environment with a conspicuous signpost should be available within the institution. The department should maintain a clean and tidy environment.</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Staff Offices</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department should have the following offices: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Head of Department's office with a convenience and an attached secretarial unit.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minimum of fifteen (15) offices for academic staff.</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Departmental secretariat.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Departmental seminar room.</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Lecture Halls / Lecture Theatres / Classrooms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minimum of four (4) well-ventilated and well-illuminated classrooms with teaching facilities (projector, interactive board, public-address system, etc.), each with a capacity of not less than fifty (50) students.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Adequate, clean and gender-sensitive conveniences.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and well-illuminated seminar room equipped with teaching facilities should also be available.</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Hostel Accommodation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 well-furnished hostel accommodation with adequate water supply and electricity should be provided for both pre-clinical and clinical students.</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Basic Medical Laboratories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Gross Anatomy and Embryology Laboratory (see Appendix I for the list of equipment). A cadaver storage facility should be available.</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Histology Laboratory and Museum (see Appendix II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Biochemistry Laboratory (see Appendix III for the list of equipment).</w:t>
      </w:r>
    </w:p>
    <w:p w:rsidR="00472D0A" w:rsidRPr="00E84E8F"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Physiology Laboratory (see Appendix IV for the list of equipment).</w:t>
      </w:r>
    </w:p>
    <w:p w:rsidR="00E84E8F" w:rsidRPr="00A9655D" w:rsidRDefault="00E84E8F" w:rsidP="00E84E8F">
      <w:pPr>
        <w:pStyle w:val="normal0"/>
        <w:pBdr>
          <w:top w:val="nil"/>
          <w:left w:val="nil"/>
          <w:bottom w:val="nil"/>
          <w:right w:val="nil"/>
          <w:between w:val="nil"/>
        </w:pBdr>
        <w:spacing w:after="60"/>
        <w:ind w:left="540"/>
        <w:jc w:val="both"/>
        <w:rPr>
          <w:rFonts w:ascii="Times New Roman" w:eastAsia="Times New Roman" w:hAnsi="Times New Roman" w:cs="Times New Roman"/>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Occupational Therapy Demonstration Laboratories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OT Demonstration / Positioning and Treatment Room (see Appendix V).</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Evaluation / Assessment area (see Appendix VI).</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Activities of Daily Living (ADL) Laboratory simulating a home environment (see Appendix VII).</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Personal Hygiene Simulation Room (see Appendix VIII).</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Kitchen Simulation Room (see Appendix IX).</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acoustically treated and adequately equipped Multisensory / Sensory Integration Room (see Appendix X).</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Vocational Rehabilitation Laboratory (see Appendix XI).</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Splint Fabrication Workshop with safe heat sources and ventilation (see Appendix XII).</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Therapeutic Exercise Area (see Appendix XIV).</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well-ventilated, well-illuminated and adequately equipped Simulation Laboratory (see Appendix XIX).</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Library</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 central library and Faculty/Departmental library must be provided with adequate provision of current Occupational Therapy textbooks, journals, periodicals and bibliographic indices.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An e-library with subscription to relevant databases as well as sufficient offline materials related to Occupational Therapy training should be provided.</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Internet facilities with strong connectivity and adequate bandwidth coverage should be available.</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Transportation</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In addition to the university's shared transportation system, the department should have a bus capable of accommodating at least fifty (50) students for community posting and external training.</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Alternative Power Supply</w:t>
      </w:r>
    </w:p>
    <w:p w:rsidR="00472D0A"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should be an alternative source of power, such as a standby generator or solar system, to complement the national power grid.</w:t>
      </w:r>
    </w:p>
    <w:p w:rsidR="00B2304A" w:rsidRPr="00A9655D" w:rsidRDefault="00B2304A" w:rsidP="00C21790">
      <w:pPr>
        <w:pStyle w:val="normal0"/>
        <w:spacing w:after="80"/>
        <w:jc w:val="both"/>
        <w:rPr>
          <w:rFonts w:ascii="Times New Roman" w:eastAsia="Times New Roman" w:hAnsi="Times New Roman" w:cs="Times New Roman"/>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Safety Measures</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Fire extinguishers, fire blankets, sand buckets and other necessary safety tools should be installed in strategic locations such as classrooms, laboratories, offices, hostels, etc.</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There MUST be muster points specified with clear signage and direction. In addition, there must be exit doors in all facilities for safety.</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Ramps and rails should be installed to support physically challenged staff and students and to prevent falls (see Appendix XXII for the list of safety equipment).</w:t>
      </w: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Clinical Training</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Teaching Hospital</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This MUST be a tertiary health facility with a level of health care obtained from specialists in a large hospital after referral from primary and secondary care providers. It must be a facility with a minimum of 250 beds and with a full complement of services, including Paediatrics, Obstetrics, General Medicine (with a Neurology unit), Gynaecology, various branches of Surgery (with an Orthopaedic unit), Anaesthesia with ICU, and Psychiatry; or a specialty hospital dedicated to specific sub-specialty care (paediatric centres, oncology centres, psychiatric).</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MUST be a purpose-built Occupational Therapy department with well-furnished offices, treatment areas, call-duty rooms, student changing areas, seminar room, departmental library, etc. The Occupational Therapy department in the said hospital should have a minimum of thirty (30) registered Occupational Therapists providing OT services across various specialties, viz:</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Paediatrics (see Appendix XV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Mental Health (see Appendix XVI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Geriatrics (see Appendix XVII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Community-based Occupational Therapy (see Appendix XVIII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Activities of Daily Living (ADL) training (see Appendix VII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Vocational Rehabilitation (see Appendix XI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Sensory Integration / Multisensory practice (see Appendix X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Assistive Technology and Orthotics (see Appendices XII and XIII for the list of equipment).</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Physical Dysfunction / Musculoskeletal / Hand Therapy (see Appendices XII and XIV).</w:t>
      </w:r>
    </w:p>
    <w:p w:rsidR="00472D0A" w:rsidRPr="00A9655D" w:rsidRDefault="00EE1B0F" w:rsidP="00C21790">
      <w:pPr>
        <w:pStyle w:val="normal0"/>
        <w:numPr>
          <w:ilvl w:val="0"/>
          <w:numId w:val="1"/>
        </w:numPr>
        <w:pBdr>
          <w:top w:val="nil"/>
          <w:left w:val="nil"/>
          <w:bottom w:val="nil"/>
          <w:right w:val="nil"/>
          <w:between w:val="nil"/>
        </w:pBdr>
        <w:spacing w:after="60"/>
        <w:jc w:val="both"/>
        <w:rPr>
          <w:rFonts w:ascii="Times New Roman" w:eastAsia="Times New Roman" w:hAnsi="Times New Roman" w:cs="Times New Roman"/>
          <w:sz w:val="28"/>
          <w:szCs w:val="28"/>
        </w:rPr>
      </w:pPr>
      <w:r w:rsidRPr="00A9655D">
        <w:rPr>
          <w:rFonts w:ascii="Times New Roman" w:eastAsia="Times New Roman" w:hAnsi="Times New Roman" w:cs="Times New Roman"/>
          <w:color w:val="000000"/>
          <w:sz w:val="28"/>
          <w:szCs w:val="28"/>
        </w:rPr>
        <w:t>Neurology (Adult Neurorehabilitation).</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Occupational Therapy Department / Faculty</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Occupational Therapy academic department should be located within the teaching hospital.</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Student Hostel</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All students at the clinical level MUST be accommodated within or near the teaching hospital.</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Funding</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 clear and sustainable source of departmental funding MUST be clearly identified for the day-to-day running of the department, including consumables required for the demonstration rooms / laboratories.</w:t>
      </w:r>
    </w:p>
    <w:p w:rsidR="00121A6E" w:rsidRDefault="00121A6E" w:rsidP="00C21790">
      <w:pPr>
        <w:pStyle w:val="normal0"/>
        <w:spacing w:before="200" w:after="120"/>
        <w:jc w:val="both"/>
        <w:rPr>
          <w:rFonts w:ascii="Times New Roman" w:eastAsia="Times New Roman" w:hAnsi="Times New Roman" w:cs="Times New Roman"/>
          <w:b/>
          <w:sz w:val="28"/>
          <w:szCs w:val="28"/>
        </w:rPr>
      </w:pPr>
    </w:p>
    <w:p w:rsidR="00472D0A" w:rsidRPr="00A9655D" w:rsidRDefault="00EE1B0F" w:rsidP="00C21790">
      <w:pPr>
        <w:pStyle w:val="normal0"/>
        <w:spacing w:before="200" w:after="12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Expected Equipment and the Required Quantity</w:t>
      </w: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I: Anatomy and Embryology</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This should contain a body storage tank, preparation room, embalming room, museum, dissection room for 8–10 students per cadaver, tutorial room, general store, staff offices, and an adequate running water supply.</w:t>
      </w:r>
    </w:p>
    <w:tbl>
      <w:tblPr>
        <w:tblStyle w:val="a"/>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Embalmed Bodies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cadaver per set of 6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Anatomage 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Equipment Trolleys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Electric Embalming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Bone Cutting Equipment - Electric Saw/Drill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Articulated and Unarticulated Skeletons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X-ray Viewing Boxes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Air-conditioners for the Dissecting Rooms and Air Extractors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Models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Slide for Sections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Many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Slide Projectors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Toilet Facilities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Gender sensitive</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Changing Room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Shower Room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bl>
    <w:p w:rsidR="00121A6E" w:rsidRDefault="00121A6E" w:rsidP="00C21790">
      <w:pPr>
        <w:pStyle w:val="normal0"/>
        <w:spacing w:before="160" w:after="100"/>
        <w:jc w:val="both"/>
        <w:rPr>
          <w:rFonts w:ascii="Times New Roman" w:eastAsia="Times New Roman" w:hAnsi="Times New Roman" w:cs="Times New Roman"/>
          <w:b/>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II: Histology</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should be an air-conditioned store where consumables are kept, offices, preparatory room, teaching laboratory for students with teaching aids, microscope store, wash-up room with adequate running water supply, and work benches.</w:t>
      </w:r>
    </w:p>
    <w:tbl>
      <w:tblPr>
        <w:tblStyle w:val="a0"/>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Microtome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Rotary/Sledge Microtome Knives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Light Microscopes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2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Vacuum Pump Dissecting Microtome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Cryostat with Microtome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Teaching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Electron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2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Slides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Many</w:t>
            </w:r>
          </w:p>
        </w:tc>
      </w:tr>
    </w:tbl>
    <w:p w:rsidR="00121A6E" w:rsidRDefault="00121A6E" w:rsidP="00C21790">
      <w:pPr>
        <w:pStyle w:val="normal0"/>
        <w:spacing w:before="160" w:after="100"/>
        <w:jc w:val="both"/>
        <w:rPr>
          <w:rFonts w:ascii="Times New Roman" w:eastAsia="Times New Roman" w:hAnsi="Times New Roman" w:cs="Times New Roman"/>
          <w:b/>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III: Biochemistry</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There should be an air-conditioned store, technician offices, a preparatory room, teaching laboratory with adequate running water supply, and a shower area.</w:t>
      </w:r>
    </w:p>
    <w:tbl>
      <w:tblPr>
        <w:tblStyle w:val="a1"/>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Centrifuge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Ultracentrifuge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Electronic Balances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Heating Block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Vacuum Pumps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Spectrophotometer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10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pH Metres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5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Thermostatic Water Bath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Burner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 per bench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Test Tubes (varying sizes)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Many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Distiller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bl>
    <w:p w:rsidR="00121A6E" w:rsidRDefault="00121A6E" w:rsidP="00C21790">
      <w:pPr>
        <w:pStyle w:val="normal0"/>
        <w:spacing w:before="160" w:after="100"/>
        <w:jc w:val="both"/>
        <w:rPr>
          <w:rFonts w:ascii="Times New Roman" w:eastAsia="Times New Roman" w:hAnsi="Times New Roman" w:cs="Times New Roman"/>
          <w:b/>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IV: Physiology</w:t>
      </w: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 Physiology Department should have an animal house, an air-conditioned store, a preparatory room, a washroom with adequate running water supply, and laboratory staff offices.</w:t>
      </w:r>
    </w:p>
    <w:tbl>
      <w:tblPr>
        <w:tblStyle w:val="a2"/>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Spirometer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5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Vitalograph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5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Polygraph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Peak Flow Metre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5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Gas Metre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ECG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Spectrophotometers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5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Physiograph Recorder Transducers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5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Oscilloscopes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Centrifuges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Audiometer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Water Baths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Electronic Weighing Balance Scale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Flame Photometer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Microcentrifuge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Water Distiller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Stethoscopes/Sphygmomanometers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Electron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per 2 students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Teaching Microscope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Slides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Many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Snellen's Chart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V: Positioning and Treatment Equipment (OT Demonstration Room)</w:t>
      </w:r>
    </w:p>
    <w:tbl>
      <w:tblPr>
        <w:tblStyle w:val="a3"/>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Relaxation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Floor Sitter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Stand-in Frame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Stand-in 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Corner Seat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Standing Frames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Mat Platforms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Treatment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Tilt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Stools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Carts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Screens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Mirrors (full length)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Parallel Bars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Stairs (training)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Work Hardening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Trays and Accessories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Ramps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Therapeutic Gloves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Weighing Scales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Convalescent Recliners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VI: Evaluation / Assessment Equipment</w:t>
      </w:r>
    </w:p>
    <w:tbl>
      <w:tblPr>
        <w:tblStyle w:val="a4"/>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Steadiness Tester (hole type)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Pencil Maze Test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Tremor Quantifier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Hand Dynamometer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Pinch Gauge / Pinch 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Strength Evaluation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Goniometer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Finger Dexterity Test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Key Hole Test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Counting and Colour Sorting Beads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Tape Measure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Sensory Pins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Tuning Fork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Reflex Hammer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Standardized Outcome Measure Forms/Kits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Stopwatch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Cognitive Assessment Kit (e.g. MMSE, MoCA, LOTCA)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Sensory Profile Assessment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Visual Perception Test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VII: Activities of Daily Living (ADL) Laboratory</w:t>
      </w:r>
    </w:p>
    <w:tbl>
      <w:tblPr>
        <w:tblStyle w:val="a5"/>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Reachers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Dressing Aids (button hooks, sock aids, dressing sticks)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Mobility Aids (Walker, Quad cane, Standard cane)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Adaptive Scissors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Book Holder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Writing Aids (built-up grips, weighted pens)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Door Latch Practice Frame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Electro-equipment Practice Frame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Dressing Practice Frame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Eating Aids with Adapted Utensils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ADL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Span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ADL Practice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Resistive Bars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Electric Iron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Adapted Clothing for 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 sets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Long-handled Sponge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Bath Bench / Shower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Raised Toilet Seat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Commode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Grab Bars (training)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Non-slip Mat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VIII: Personal Hygiene Simulation Room</w:t>
      </w:r>
    </w:p>
    <w:tbl>
      <w:tblPr>
        <w:tblStyle w:val="a6"/>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Simulated Bathing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Simulated Toileting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Grooming Station (mirror, sink, supplies)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Nail Care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Oral Care Practice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Hair Care Tools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bl>
    <w:p w:rsidR="00884782" w:rsidRDefault="00884782" w:rsidP="00C21790">
      <w:pPr>
        <w:pStyle w:val="normal0"/>
        <w:spacing w:before="160" w:after="100"/>
        <w:jc w:val="both"/>
        <w:rPr>
          <w:rFonts w:ascii="Times New Roman" w:eastAsia="Times New Roman" w:hAnsi="Times New Roman" w:cs="Times New Roman"/>
          <w:b/>
          <w:sz w:val="28"/>
          <w:szCs w:val="28"/>
        </w:rPr>
      </w:pPr>
    </w:p>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lastRenderedPageBreak/>
        <w:t>Appendix IX: Kitchen Simulation Room</w:t>
      </w:r>
    </w:p>
    <w:tbl>
      <w:tblPr>
        <w:tblStyle w:val="a7"/>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Plates and Bowls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Cups and Drinking Aids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Adapted Utensils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Gas Cooker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Self-feeders and Arm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Over-bed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Dycem (Non-slip) Products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Dining Accessories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Plate Rack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Mixer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Blender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Adapted Cutting Board (one-handed)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Adapted Jar Opener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Reach Extender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Kitchen Apron (adaptive)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 Multisensory / Sensory Integration Room</w:t>
      </w:r>
    </w:p>
    <w:tbl>
      <w:tblPr>
        <w:tblStyle w:val="a8"/>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Tactile Stimulators (textures, brushes, feathers)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Visual Stimulators (light tubes, projector toys)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Peg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Target Game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Basic Balance Beam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Balance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Dart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Ball Pool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Puzzles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Multi-activity Work Station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Mushroom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Pegs and Shapes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Pinch Tree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Size Perception Square Board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Geometric Shape Form Board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Foot Placement Ladder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Equilibrium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Trampoline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Building Blocks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Visual Cues and Illustration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Puzzle Game Board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Play Dough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Cone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Weighted Vest / Blanket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Therapy Swing (vestibular)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Resonance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Fibre Optic Lights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Bubble Tube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XI: Vocational Rehabilitation Laboratory</w:t>
      </w:r>
    </w:p>
    <w:tbl>
      <w:tblPr>
        <w:tblStyle w:val="a9"/>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Virtual Reality System with Screen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Driving Simulator Setup with Screen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Computer Set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Work Hardening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Work Conditioning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Ergonomic Workstation (adjustable)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Job Simulation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Lifting Boxes (varied weights)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Pegboard Assembly Task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Fine Motor Work Tasks (sorting, assembly)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XII: Assistive / Orthotic Devices — Upper Limb and Splint Fabrication</w:t>
      </w:r>
    </w:p>
    <w:tbl>
      <w:tblPr>
        <w:tblStyle w:val="aa"/>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Shoulder Supports and Slings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(assorted sizes)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Elbow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(assorted sizes)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Upper Extremity Support Products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Wrist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(assorted sizes)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Cervical Collars (soft and rigid)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Clavicle Brace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Thoracic Brace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Cock-up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(sizes)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Resting Hand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(sizes)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Thumb Spica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(sizes)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Dynamic Hand Splints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Splint-fabrication Materials (low-temperature thermoplastics)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Heat Gun / Splint Pan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Splint Strapping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XIII: Assistive / Orthotic Devices — Lower Limb and Other Supports</w:t>
      </w:r>
    </w:p>
    <w:tbl>
      <w:tblPr>
        <w:tblStyle w:val="ab"/>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Ankle, Foot and Heel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Knee Supports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Back Supports / Lumbosacral Belts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Bed Positioning and Safety Products (pillows, wedges)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Compression Stockings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 pairs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Edema-management Products (pumps, sleeves)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Canes (standard, quad)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Crutches (axillary, elbow)</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each pair</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Scar Management Products / Gel Sheets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Ergonomic Adjusters (chairs, tables, toilets)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Therapeutic Taping (rigid, elastic)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Pelvic Belts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XIV: Therapeutic Exercise Equipment</w:t>
      </w:r>
    </w:p>
    <w:tbl>
      <w:tblPr>
        <w:tblStyle w:val="ac"/>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Sanding Unit (reciprocal/semi-circular/vertical/overhead)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Sand and Water 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Multi-purpose Wheel (shoulder)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Flexion/Extension/Pronation/Supination Apparatus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Inclined Tapered Balance Beam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Slanted Walking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Strength Training Equipment (sand bags 1-5 kg)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Prone Crawling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Vestibular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Vestibular Swing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Exercise Mats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Positioning Bolsters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Exercise Bands (resistive: light/medium/heavy)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Exercise Balls (varying sizes)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Weights (Dumbbells: 1-5 kg)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 each pair</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Balance Boards / Wobble Boards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Therapy Putty (varied resistances)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Hand Strengthener Devices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Pulleys / Wall System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Bungee Cords (therapy)</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Rebounder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Trampoline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Soft Ball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Skating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Range of Motion Arc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Spiral Arc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Standing Frame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Crawling Board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Abductor Ladder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Wheelchair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Finger Ladder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Shoulder Wheel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XV: Paediatric Occupational Therapy Unit</w:t>
      </w:r>
    </w:p>
    <w:tbl>
      <w:tblPr>
        <w:tblStyle w:val="ad"/>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Paediatric Treatment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Paediatric Seating &amp; Mobility Aids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Toileting and Bathing Aids (paediatric)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Therapy Pool (optional)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Bolsters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Peanut/Pea Balls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Gait Trainers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Paediatric Walkers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Paediatric Mobility Aids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Paediatric Outcome Measure Tools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Adaptive Feeding/Eating Equipment (paediatric)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Sensory Toys / Manipulatives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Therapy Wedges (paediatric)</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Paediatric Splints (resting, functional)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Adaptive Seating Cushions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XVI: Mental Health Occupational Therapy Unit</w:t>
      </w:r>
    </w:p>
    <w:tbl>
      <w:tblPr>
        <w:tblStyle w:val="ae"/>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Relaxation Chairs/Recliners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Group Activity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Art and Craft Supplies (paints, brushes, canvas, paper)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Music/Audio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Cognitive Stimulation Materials (board games, card games, puzzles)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Stress Balls / Fidget Items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Mindfulness/Meditation Cushions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Journals and Writing Supplies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Anger Management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Social Skills Training Resources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Video Recording Devices (for feedback)</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Mirror (full length)</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Yoga Mats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XVII: Geriatric Occupational Therapy Unit</w:t>
      </w:r>
    </w:p>
    <w:tbl>
      <w:tblPr>
        <w:tblStyle w:val="af"/>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Walking Aids (walker, quad cane, tetrapod)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Wheelchair (standard)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Wheelchair (reclining)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Bath Chair / Shower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Commode Chair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Adaptive Eating Utensils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 sets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Memory Aids and Cognitive Games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Large-print Reading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Magnifiers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Hearing Aid Demonstration Devices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Pressure-relief Cushions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Lumbar/Cervical Pillows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Stairs (low-rise practice)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Standing Mirror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Gait Belts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Bedside Commode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XVIII: Community-based Occupational Therapy Unit</w:t>
      </w:r>
    </w:p>
    <w:tbl>
      <w:tblPr>
        <w:tblStyle w:val="af0"/>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Portable ADL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Portable Assessment Kits (cognitive, functional)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Mobile/Portable Splinting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Mobile Sensory Stimulation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Educational/Information Materials (handouts, posters)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Demonstration/Teaching Models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Adaptive Equipment Samples for Home Adaptation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Walking Aids (assorted)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Wheelchair (portable)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Home-modification Demonstration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 set</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XIX: Simulation Laboratory</w:t>
      </w:r>
    </w:p>
    <w:tbl>
      <w:tblPr>
        <w:tblStyle w:val="af1"/>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High-impedance Mannequin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Manual Mannequins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Simulation Beds (cubicle layout)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Audiovisual Recording Setup</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Vital Signs Simulator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XX: Diagnostic Equipment</w:t>
      </w:r>
    </w:p>
    <w:tbl>
      <w:tblPr>
        <w:tblStyle w:val="af2"/>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Goniometers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Sphygmomanometer / Stethoscope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 each</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Spirometers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Peak Flow Meters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Skin Fold Callipers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Stopwatches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Hand Grip Dynamometer (digital)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Pinch Gauge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Weighing Scale (wheelchair accessible)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Pain Rating Scale Materials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Sensory Processing Test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Heart Rate Monitor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Measuring Tape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Cognitive Test Equipment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Stadiometer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Body Mass Index Calculator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Pulse Oximeter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Reflex Hammer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Tongue Depressor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Packs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Tuning Fork (128 Hz)</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Familiar Objects (paper clip, coin, marble) - stereognosis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 sets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Pen Light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Thermometer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Cotton Balls / Cotton-tipped Swabs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Packs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Two-point Discriminator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26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Monofilament Test Kit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XXI: Infection Control</w:t>
      </w:r>
    </w:p>
    <w:tbl>
      <w:tblPr>
        <w:tblStyle w:val="af3"/>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Face Masks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Packs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Disposable Gloves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Packs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Hand Sanitizer Dispensers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Sputum Containers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Packs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Sterilizing Unit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Autoclave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Antiseptic Solution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Packs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Washing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Drying Machine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10</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Sharps Disposal Bins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Biohazard Waste Bins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r>
    </w:tbl>
    <w:p w:rsidR="00472D0A" w:rsidRPr="00A9655D" w:rsidRDefault="00EE1B0F" w:rsidP="00C21790">
      <w:pPr>
        <w:pStyle w:val="normal0"/>
        <w:spacing w:before="160" w:after="10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Appendix XXII: Safety Measures</w:t>
      </w:r>
    </w:p>
    <w:tbl>
      <w:tblPr>
        <w:tblStyle w:val="af4"/>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00"/>
        <w:gridCol w:w="7380"/>
        <w:gridCol w:w="1800"/>
      </w:tblGrid>
      <w:tr w:rsidR="00472D0A" w:rsidRPr="00A9655D">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S/N</w:t>
            </w:r>
          </w:p>
        </w:tc>
        <w:tc>
          <w:tcPr>
            <w:tcW w:w="7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Items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Quantity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1</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Alarm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2</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Fire Extinguisher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3</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Fire Blanket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4</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Intercom</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5</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Fire Assembly Point Signage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lastRenderedPageBreak/>
              <w:t>6</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Sand Bucket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7</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Clearly Marked Direction to Muster Point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All facility</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8</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First Aid Kits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Placed in strategic locations</w:t>
            </w:r>
          </w:p>
        </w:tc>
      </w:tr>
      <w:tr w:rsidR="00472D0A" w:rsidRPr="00A9655D">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9</w:t>
            </w:r>
          </w:p>
        </w:tc>
        <w:tc>
          <w:tcPr>
            <w:tcW w:w="7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Emergency Exit Lights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472D0A" w:rsidRPr="00A9655D" w:rsidRDefault="00EE1B0F" w:rsidP="00C21790">
            <w:pPr>
              <w:pStyle w:val="normal0"/>
              <w:jc w:val="both"/>
              <w:rPr>
                <w:rFonts w:ascii="Times New Roman" w:eastAsia="Times New Roman" w:hAnsi="Times New Roman" w:cs="Times New Roman"/>
                <w:sz w:val="28"/>
                <w:szCs w:val="28"/>
              </w:rPr>
            </w:pPr>
            <w:r w:rsidRPr="00A9655D">
              <w:rPr>
                <w:rFonts w:ascii="Times New Roman" w:eastAsia="Times New Roman" w:hAnsi="Times New Roman" w:cs="Times New Roman"/>
                <w:sz w:val="28"/>
                <w:szCs w:val="28"/>
              </w:rPr>
              <w:t>All facility</w:t>
            </w:r>
          </w:p>
        </w:tc>
      </w:tr>
    </w:tbl>
    <w:p w:rsidR="00472D0A" w:rsidRPr="00A9655D" w:rsidRDefault="00472D0A" w:rsidP="00C21790">
      <w:pPr>
        <w:pStyle w:val="normal0"/>
        <w:jc w:val="both"/>
        <w:rPr>
          <w:rFonts w:ascii="Times New Roman" w:eastAsia="Times New Roman" w:hAnsi="Times New Roman" w:cs="Times New Roman"/>
          <w:sz w:val="28"/>
          <w:szCs w:val="28"/>
        </w:rPr>
      </w:pPr>
    </w:p>
    <w:p w:rsidR="00472D0A" w:rsidRPr="00A9655D" w:rsidRDefault="00472D0A" w:rsidP="00C21790">
      <w:pPr>
        <w:pStyle w:val="normal0"/>
        <w:jc w:val="both"/>
        <w:rPr>
          <w:rFonts w:ascii="Times New Roman" w:eastAsia="Times New Roman" w:hAnsi="Times New Roman" w:cs="Times New Roman"/>
          <w:sz w:val="28"/>
          <w:szCs w:val="28"/>
        </w:rPr>
      </w:pP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Signed:</w:t>
      </w:r>
    </w:p>
    <w:p w:rsidR="00472D0A" w:rsidRPr="00A9655D" w:rsidRDefault="00472D0A" w:rsidP="00C21790">
      <w:pPr>
        <w:pStyle w:val="normal0"/>
        <w:jc w:val="both"/>
        <w:rPr>
          <w:rFonts w:ascii="Times New Roman" w:eastAsia="Times New Roman" w:hAnsi="Times New Roman" w:cs="Times New Roman"/>
          <w:sz w:val="28"/>
          <w:szCs w:val="28"/>
        </w:rPr>
      </w:pPr>
    </w:p>
    <w:p w:rsidR="00472D0A" w:rsidRPr="00A9655D" w:rsidRDefault="00EE1B0F" w:rsidP="00C21790">
      <w:pPr>
        <w:pStyle w:val="normal0"/>
        <w:spacing w:after="80"/>
        <w:jc w:val="both"/>
        <w:rPr>
          <w:rFonts w:ascii="Times New Roman" w:eastAsia="Times New Roman" w:hAnsi="Times New Roman" w:cs="Times New Roman"/>
          <w:sz w:val="28"/>
          <w:szCs w:val="28"/>
        </w:rPr>
      </w:pPr>
      <w:r w:rsidRPr="00A9655D">
        <w:rPr>
          <w:rFonts w:ascii="Times New Roman" w:eastAsia="Times New Roman" w:hAnsi="Times New Roman" w:cs="Times New Roman"/>
          <w:b/>
          <w:sz w:val="28"/>
          <w:szCs w:val="28"/>
        </w:rPr>
        <w:t>REGISTRAR/CEO (MRTB)</w:t>
      </w:r>
    </w:p>
    <w:sectPr w:rsidR="00472D0A" w:rsidRPr="00A9655D" w:rsidSect="00472D0A">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C7AE0" w:rsidRDefault="000C7AE0" w:rsidP="003530B9">
      <w:r>
        <w:separator/>
      </w:r>
    </w:p>
  </w:endnote>
  <w:endnote w:type="continuationSeparator" w:id="0">
    <w:p w:rsidR="000C7AE0" w:rsidRDefault="000C7AE0" w:rsidP="003530B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0B9" w:rsidRDefault="003530B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0B9" w:rsidRDefault="003530B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0B9" w:rsidRDefault="003530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C7AE0" w:rsidRDefault="000C7AE0" w:rsidP="003530B9">
      <w:r>
        <w:separator/>
      </w:r>
    </w:p>
  </w:footnote>
  <w:footnote w:type="continuationSeparator" w:id="0">
    <w:p w:rsidR="000C7AE0" w:rsidRDefault="000C7AE0" w:rsidP="003530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0B9" w:rsidRDefault="003530B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981376" o:spid="_x0000_s3074" type="#_x0000_t136" style="position:absolute;margin-left:0;margin-top:0;width:690.75pt;height:121.5pt;rotation:315;z-index:-251654144;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0B9" w:rsidRDefault="003530B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981377" o:spid="_x0000_s3075" type="#_x0000_t136" style="position:absolute;margin-left:0;margin-top:0;width:690.75pt;height:121.5pt;rotation:315;z-index:-251652096;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30B9" w:rsidRDefault="003530B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981375" o:spid="_x0000_s3073" type="#_x0000_t136" style="position:absolute;margin-left:0;margin-top:0;width:690.75pt;height:121.5pt;rotation:315;z-index:-251656192;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3375D9"/>
    <w:multiLevelType w:val="multilevel"/>
    <w:tmpl w:val="EA961726"/>
    <w:lvl w:ilvl="0">
      <w:start w:val="1"/>
      <w:numFmt w:val="bullet"/>
      <w:lvlText w:val="•"/>
      <w:lvlJc w:val="left"/>
      <w:pPr>
        <w:ind w:left="540" w:hanging="270"/>
      </w:pPr>
    </w:lvl>
    <w:lvl w:ilvl="1">
      <w:start w:val="1"/>
      <w:numFmt w:val="bullet"/>
      <w:lvlText w:val="◦"/>
      <w:lvlJc w:val="left"/>
      <w:pPr>
        <w:ind w:left="108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o:shapelayout v:ext="edit">
      <o:idmap v:ext="edit" data="3"/>
    </o:shapelayout>
  </w:hdrShapeDefaults>
  <w:footnotePr>
    <w:footnote w:id="-1"/>
    <w:footnote w:id="0"/>
  </w:footnotePr>
  <w:endnotePr>
    <w:endnote w:id="-1"/>
    <w:endnote w:id="0"/>
  </w:endnotePr>
  <w:compat/>
  <w:rsids>
    <w:rsidRoot w:val="00472D0A"/>
    <w:rsid w:val="000C7AE0"/>
    <w:rsid w:val="00121A6E"/>
    <w:rsid w:val="00291F77"/>
    <w:rsid w:val="003530B9"/>
    <w:rsid w:val="00472D0A"/>
    <w:rsid w:val="00884782"/>
    <w:rsid w:val="009F4B19"/>
    <w:rsid w:val="00A9655D"/>
    <w:rsid w:val="00AE1EA2"/>
    <w:rsid w:val="00B2304A"/>
    <w:rsid w:val="00C21790"/>
    <w:rsid w:val="00E84E8F"/>
    <w:rsid w:val="00EC530B"/>
    <w:rsid w:val="00EE1B0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530B"/>
  </w:style>
  <w:style w:type="paragraph" w:styleId="Heading1">
    <w:name w:val="heading 1"/>
    <w:basedOn w:val="normal0"/>
    <w:next w:val="normal0"/>
    <w:rsid w:val="00472D0A"/>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472D0A"/>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472D0A"/>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472D0A"/>
    <w:pPr>
      <w:pBdr>
        <w:top w:val="nil"/>
        <w:left w:val="nil"/>
        <w:bottom w:val="nil"/>
        <w:right w:val="nil"/>
        <w:between w:val="nil"/>
      </w:pBdr>
      <w:outlineLvl w:val="3"/>
    </w:pPr>
    <w:rPr>
      <w:i/>
      <w:color w:val="2E74B5"/>
    </w:rPr>
  </w:style>
  <w:style w:type="paragraph" w:styleId="Heading5">
    <w:name w:val="heading 5"/>
    <w:basedOn w:val="normal0"/>
    <w:next w:val="normal0"/>
    <w:rsid w:val="00472D0A"/>
    <w:pPr>
      <w:pBdr>
        <w:top w:val="nil"/>
        <w:left w:val="nil"/>
        <w:bottom w:val="nil"/>
        <w:right w:val="nil"/>
        <w:between w:val="nil"/>
      </w:pBdr>
      <w:outlineLvl w:val="4"/>
    </w:pPr>
    <w:rPr>
      <w:color w:val="2E74B5"/>
    </w:rPr>
  </w:style>
  <w:style w:type="paragraph" w:styleId="Heading6">
    <w:name w:val="heading 6"/>
    <w:basedOn w:val="normal0"/>
    <w:next w:val="normal0"/>
    <w:rsid w:val="00472D0A"/>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72D0A"/>
  </w:style>
  <w:style w:type="table" w:customStyle="1" w:styleId="TableNormal0">
    <w:name w:val="TableNormal"/>
    <w:rsid w:val="00472D0A"/>
    <w:tblPr>
      <w:tblCellMar>
        <w:top w:w="0" w:type="dxa"/>
        <w:left w:w="0" w:type="dxa"/>
        <w:bottom w:w="0" w:type="dxa"/>
        <w:right w:w="0" w:type="dxa"/>
      </w:tblCellMar>
    </w:tblPr>
  </w:style>
  <w:style w:type="paragraph" w:styleId="Title">
    <w:name w:val="Title"/>
    <w:basedOn w:val="normal0"/>
    <w:next w:val="normal0"/>
    <w:rsid w:val="00472D0A"/>
    <w:pPr>
      <w:pBdr>
        <w:top w:val="nil"/>
        <w:left w:val="nil"/>
        <w:bottom w:val="nil"/>
        <w:right w:val="nil"/>
        <w:between w:val="nil"/>
      </w:pBdr>
    </w:pPr>
    <w:rPr>
      <w:color w:val="000000"/>
      <w:sz w:val="56"/>
      <w:szCs w:val="56"/>
    </w:rPr>
  </w:style>
  <w:style w:type="paragraph" w:styleId="Subtitle">
    <w:name w:val="Subtitle"/>
    <w:basedOn w:val="normal0"/>
    <w:next w:val="normal0"/>
    <w:rsid w:val="00472D0A"/>
    <w:pPr>
      <w:keepNext/>
      <w:keepLines/>
      <w:spacing w:before="360" w:after="80"/>
    </w:pPr>
    <w:rPr>
      <w:rFonts w:ascii="Georgia" w:eastAsia="Georgia" w:hAnsi="Georgia" w:cs="Georgia"/>
      <w:i/>
      <w:color w:val="666666"/>
      <w:sz w:val="48"/>
      <w:szCs w:val="48"/>
    </w:rPr>
  </w:style>
  <w:style w:type="table" w:customStyle="1" w:styleId="a">
    <w:basedOn w:val="TableNormal0"/>
    <w:rsid w:val="00472D0A"/>
    <w:tblPr>
      <w:tblStyleRowBandSize w:val="1"/>
      <w:tblStyleColBandSize w:val="1"/>
      <w:tblCellMar>
        <w:top w:w="0" w:type="dxa"/>
        <w:left w:w="115" w:type="dxa"/>
        <w:bottom w:w="0" w:type="dxa"/>
        <w:right w:w="115" w:type="dxa"/>
      </w:tblCellMar>
    </w:tblPr>
  </w:style>
  <w:style w:type="table" w:customStyle="1" w:styleId="a0">
    <w:basedOn w:val="TableNormal0"/>
    <w:rsid w:val="00472D0A"/>
    <w:tblPr>
      <w:tblStyleRowBandSize w:val="1"/>
      <w:tblStyleColBandSize w:val="1"/>
      <w:tblCellMar>
        <w:top w:w="0" w:type="dxa"/>
        <w:left w:w="115" w:type="dxa"/>
        <w:bottom w:w="0" w:type="dxa"/>
        <w:right w:w="115" w:type="dxa"/>
      </w:tblCellMar>
    </w:tblPr>
  </w:style>
  <w:style w:type="table" w:customStyle="1" w:styleId="a1">
    <w:basedOn w:val="TableNormal0"/>
    <w:rsid w:val="00472D0A"/>
    <w:tblPr>
      <w:tblStyleRowBandSize w:val="1"/>
      <w:tblStyleColBandSize w:val="1"/>
      <w:tblCellMar>
        <w:top w:w="0" w:type="dxa"/>
        <w:left w:w="115" w:type="dxa"/>
        <w:bottom w:w="0" w:type="dxa"/>
        <w:right w:w="115" w:type="dxa"/>
      </w:tblCellMar>
    </w:tblPr>
  </w:style>
  <w:style w:type="table" w:customStyle="1" w:styleId="a2">
    <w:basedOn w:val="TableNormal0"/>
    <w:rsid w:val="00472D0A"/>
    <w:tblPr>
      <w:tblStyleRowBandSize w:val="1"/>
      <w:tblStyleColBandSize w:val="1"/>
      <w:tblCellMar>
        <w:top w:w="0" w:type="dxa"/>
        <w:left w:w="115" w:type="dxa"/>
        <w:bottom w:w="0" w:type="dxa"/>
        <w:right w:w="115" w:type="dxa"/>
      </w:tblCellMar>
    </w:tblPr>
  </w:style>
  <w:style w:type="table" w:customStyle="1" w:styleId="a3">
    <w:basedOn w:val="TableNormal0"/>
    <w:rsid w:val="00472D0A"/>
    <w:tblPr>
      <w:tblStyleRowBandSize w:val="1"/>
      <w:tblStyleColBandSize w:val="1"/>
      <w:tblCellMar>
        <w:top w:w="0" w:type="dxa"/>
        <w:left w:w="115" w:type="dxa"/>
        <w:bottom w:w="0" w:type="dxa"/>
        <w:right w:w="115" w:type="dxa"/>
      </w:tblCellMar>
    </w:tblPr>
  </w:style>
  <w:style w:type="table" w:customStyle="1" w:styleId="a4">
    <w:basedOn w:val="TableNormal0"/>
    <w:rsid w:val="00472D0A"/>
    <w:tblPr>
      <w:tblStyleRowBandSize w:val="1"/>
      <w:tblStyleColBandSize w:val="1"/>
      <w:tblCellMar>
        <w:top w:w="0" w:type="dxa"/>
        <w:left w:w="115" w:type="dxa"/>
        <w:bottom w:w="0" w:type="dxa"/>
        <w:right w:w="115" w:type="dxa"/>
      </w:tblCellMar>
    </w:tblPr>
  </w:style>
  <w:style w:type="table" w:customStyle="1" w:styleId="a5">
    <w:basedOn w:val="TableNormal0"/>
    <w:rsid w:val="00472D0A"/>
    <w:tblPr>
      <w:tblStyleRowBandSize w:val="1"/>
      <w:tblStyleColBandSize w:val="1"/>
      <w:tblCellMar>
        <w:top w:w="0" w:type="dxa"/>
        <w:left w:w="115" w:type="dxa"/>
        <w:bottom w:w="0" w:type="dxa"/>
        <w:right w:w="115" w:type="dxa"/>
      </w:tblCellMar>
    </w:tblPr>
  </w:style>
  <w:style w:type="table" w:customStyle="1" w:styleId="a6">
    <w:basedOn w:val="TableNormal0"/>
    <w:rsid w:val="00472D0A"/>
    <w:tblPr>
      <w:tblStyleRowBandSize w:val="1"/>
      <w:tblStyleColBandSize w:val="1"/>
      <w:tblCellMar>
        <w:top w:w="0" w:type="dxa"/>
        <w:left w:w="115" w:type="dxa"/>
        <w:bottom w:w="0" w:type="dxa"/>
        <w:right w:w="115" w:type="dxa"/>
      </w:tblCellMar>
    </w:tblPr>
  </w:style>
  <w:style w:type="table" w:customStyle="1" w:styleId="a7">
    <w:basedOn w:val="TableNormal0"/>
    <w:rsid w:val="00472D0A"/>
    <w:tblPr>
      <w:tblStyleRowBandSize w:val="1"/>
      <w:tblStyleColBandSize w:val="1"/>
      <w:tblCellMar>
        <w:top w:w="0" w:type="dxa"/>
        <w:left w:w="115" w:type="dxa"/>
        <w:bottom w:w="0" w:type="dxa"/>
        <w:right w:w="115" w:type="dxa"/>
      </w:tblCellMar>
    </w:tblPr>
  </w:style>
  <w:style w:type="table" w:customStyle="1" w:styleId="a8">
    <w:basedOn w:val="TableNormal0"/>
    <w:rsid w:val="00472D0A"/>
    <w:tblPr>
      <w:tblStyleRowBandSize w:val="1"/>
      <w:tblStyleColBandSize w:val="1"/>
      <w:tblCellMar>
        <w:top w:w="0" w:type="dxa"/>
        <w:left w:w="115" w:type="dxa"/>
        <w:bottom w:w="0" w:type="dxa"/>
        <w:right w:w="115" w:type="dxa"/>
      </w:tblCellMar>
    </w:tblPr>
  </w:style>
  <w:style w:type="table" w:customStyle="1" w:styleId="a9">
    <w:basedOn w:val="TableNormal0"/>
    <w:rsid w:val="00472D0A"/>
    <w:tblPr>
      <w:tblStyleRowBandSize w:val="1"/>
      <w:tblStyleColBandSize w:val="1"/>
      <w:tblCellMar>
        <w:top w:w="0" w:type="dxa"/>
        <w:left w:w="115" w:type="dxa"/>
        <w:bottom w:w="0" w:type="dxa"/>
        <w:right w:w="115" w:type="dxa"/>
      </w:tblCellMar>
    </w:tblPr>
  </w:style>
  <w:style w:type="table" w:customStyle="1" w:styleId="aa">
    <w:basedOn w:val="TableNormal0"/>
    <w:rsid w:val="00472D0A"/>
    <w:tblPr>
      <w:tblStyleRowBandSize w:val="1"/>
      <w:tblStyleColBandSize w:val="1"/>
      <w:tblCellMar>
        <w:top w:w="0" w:type="dxa"/>
        <w:left w:w="115" w:type="dxa"/>
        <w:bottom w:w="0" w:type="dxa"/>
        <w:right w:w="115" w:type="dxa"/>
      </w:tblCellMar>
    </w:tblPr>
  </w:style>
  <w:style w:type="table" w:customStyle="1" w:styleId="ab">
    <w:basedOn w:val="TableNormal0"/>
    <w:rsid w:val="00472D0A"/>
    <w:tblPr>
      <w:tblStyleRowBandSize w:val="1"/>
      <w:tblStyleColBandSize w:val="1"/>
      <w:tblCellMar>
        <w:top w:w="0" w:type="dxa"/>
        <w:left w:w="115" w:type="dxa"/>
        <w:bottom w:w="0" w:type="dxa"/>
        <w:right w:w="115" w:type="dxa"/>
      </w:tblCellMar>
    </w:tblPr>
  </w:style>
  <w:style w:type="table" w:customStyle="1" w:styleId="ac">
    <w:basedOn w:val="TableNormal0"/>
    <w:rsid w:val="00472D0A"/>
    <w:tblPr>
      <w:tblStyleRowBandSize w:val="1"/>
      <w:tblStyleColBandSize w:val="1"/>
      <w:tblCellMar>
        <w:top w:w="0" w:type="dxa"/>
        <w:left w:w="115" w:type="dxa"/>
        <w:bottom w:w="0" w:type="dxa"/>
        <w:right w:w="115" w:type="dxa"/>
      </w:tblCellMar>
    </w:tblPr>
  </w:style>
  <w:style w:type="table" w:customStyle="1" w:styleId="ad">
    <w:basedOn w:val="TableNormal0"/>
    <w:rsid w:val="00472D0A"/>
    <w:tblPr>
      <w:tblStyleRowBandSize w:val="1"/>
      <w:tblStyleColBandSize w:val="1"/>
      <w:tblCellMar>
        <w:top w:w="0" w:type="dxa"/>
        <w:left w:w="115" w:type="dxa"/>
        <w:bottom w:w="0" w:type="dxa"/>
        <w:right w:w="115" w:type="dxa"/>
      </w:tblCellMar>
    </w:tblPr>
  </w:style>
  <w:style w:type="table" w:customStyle="1" w:styleId="ae">
    <w:basedOn w:val="TableNormal0"/>
    <w:rsid w:val="00472D0A"/>
    <w:tblPr>
      <w:tblStyleRowBandSize w:val="1"/>
      <w:tblStyleColBandSize w:val="1"/>
      <w:tblCellMar>
        <w:top w:w="0" w:type="dxa"/>
        <w:left w:w="115" w:type="dxa"/>
        <w:bottom w:w="0" w:type="dxa"/>
        <w:right w:w="115" w:type="dxa"/>
      </w:tblCellMar>
    </w:tblPr>
  </w:style>
  <w:style w:type="table" w:customStyle="1" w:styleId="af">
    <w:basedOn w:val="TableNormal0"/>
    <w:rsid w:val="00472D0A"/>
    <w:tblPr>
      <w:tblStyleRowBandSize w:val="1"/>
      <w:tblStyleColBandSize w:val="1"/>
      <w:tblCellMar>
        <w:top w:w="0" w:type="dxa"/>
        <w:left w:w="115" w:type="dxa"/>
        <w:bottom w:w="0" w:type="dxa"/>
        <w:right w:w="115" w:type="dxa"/>
      </w:tblCellMar>
    </w:tblPr>
  </w:style>
  <w:style w:type="table" w:customStyle="1" w:styleId="af0">
    <w:basedOn w:val="TableNormal0"/>
    <w:rsid w:val="00472D0A"/>
    <w:tblPr>
      <w:tblStyleRowBandSize w:val="1"/>
      <w:tblStyleColBandSize w:val="1"/>
      <w:tblCellMar>
        <w:top w:w="0" w:type="dxa"/>
        <w:left w:w="115" w:type="dxa"/>
        <w:bottom w:w="0" w:type="dxa"/>
        <w:right w:w="115" w:type="dxa"/>
      </w:tblCellMar>
    </w:tblPr>
  </w:style>
  <w:style w:type="table" w:customStyle="1" w:styleId="af1">
    <w:basedOn w:val="TableNormal0"/>
    <w:rsid w:val="00472D0A"/>
    <w:tblPr>
      <w:tblStyleRowBandSize w:val="1"/>
      <w:tblStyleColBandSize w:val="1"/>
      <w:tblCellMar>
        <w:top w:w="0" w:type="dxa"/>
        <w:left w:w="115" w:type="dxa"/>
        <w:bottom w:w="0" w:type="dxa"/>
        <w:right w:w="115" w:type="dxa"/>
      </w:tblCellMar>
    </w:tblPr>
  </w:style>
  <w:style w:type="table" w:customStyle="1" w:styleId="af2">
    <w:basedOn w:val="TableNormal0"/>
    <w:rsid w:val="00472D0A"/>
    <w:tblPr>
      <w:tblStyleRowBandSize w:val="1"/>
      <w:tblStyleColBandSize w:val="1"/>
      <w:tblCellMar>
        <w:top w:w="0" w:type="dxa"/>
        <w:left w:w="115" w:type="dxa"/>
        <w:bottom w:w="0" w:type="dxa"/>
        <w:right w:w="115" w:type="dxa"/>
      </w:tblCellMar>
    </w:tblPr>
  </w:style>
  <w:style w:type="table" w:customStyle="1" w:styleId="af3">
    <w:basedOn w:val="TableNormal0"/>
    <w:rsid w:val="00472D0A"/>
    <w:tblPr>
      <w:tblStyleRowBandSize w:val="1"/>
      <w:tblStyleColBandSize w:val="1"/>
      <w:tblCellMar>
        <w:top w:w="0" w:type="dxa"/>
        <w:left w:w="115" w:type="dxa"/>
        <w:bottom w:w="0" w:type="dxa"/>
        <w:right w:w="115" w:type="dxa"/>
      </w:tblCellMar>
    </w:tblPr>
  </w:style>
  <w:style w:type="table" w:customStyle="1" w:styleId="af4">
    <w:basedOn w:val="TableNormal0"/>
    <w:rsid w:val="00472D0A"/>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semiHidden/>
    <w:unhideWhenUsed/>
    <w:rsid w:val="003530B9"/>
    <w:pPr>
      <w:tabs>
        <w:tab w:val="center" w:pos="4513"/>
        <w:tab w:val="right" w:pos="9026"/>
      </w:tabs>
    </w:pPr>
  </w:style>
  <w:style w:type="character" w:customStyle="1" w:styleId="HeaderChar">
    <w:name w:val="Header Char"/>
    <w:basedOn w:val="DefaultParagraphFont"/>
    <w:link w:val="Header"/>
    <w:uiPriority w:val="99"/>
    <w:semiHidden/>
    <w:rsid w:val="003530B9"/>
  </w:style>
  <w:style w:type="paragraph" w:styleId="Footer">
    <w:name w:val="footer"/>
    <w:basedOn w:val="Normal"/>
    <w:link w:val="FooterChar"/>
    <w:uiPriority w:val="99"/>
    <w:semiHidden/>
    <w:unhideWhenUsed/>
    <w:rsid w:val="003530B9"/>
    <w:pPr>
      <w:tabs>
        <w:tab w:val="center" w:pos="4513"/>
        <w:tab w:val="right" w:pos="9026"/>
      </w:tabs>
    </w:pPr>
  </w:style>
  <w:style w:type="character" w:customStyle="1" w:styleId="FooterChar">
    <w:name w:val="Footer Char"/>
    <w:basedOn w:val="DefaultParagraphFont"/>
    <w:link w:val="Footer"/>
    <w:uiPriority w:val="99"/>
    <w:semiHidden/>
    <w:rsid w:val="003530B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23</Pages>
  <Words>3787</Words>
  <Characters>21587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ACCREDITATION TEAM</cp:lastModifiedBy>
  <cp:revision>8</cp:revision>
  <dcterms:created xsi:type="dcterms:W3CDTF">2026-06-06T06:16:00Z</dcterms:created>
  <dcterms:modified xsi:type="dcterms:W3CDTF">2026-06-10T14:09:00Z</dcterms:modified>
</cp:coreProperties>
</file>