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D4782" w14:textId="64300C7A" w:rsidR="004F7BCD" w:rsidRDefault="004F7BCD">
      <w:r>
        <w:t>How many does it really take to tango? An exploration of transnationalism in “Power</w:t>
      </w:r>
      <w:r w:rsidR="007F1F7D">
        <w:t>: One River, Two Nations</w:t>
      </w:r>
      <w:r>
        <w:t>”</w:t>
      </w:r>
      <w:r w:rsidR="007F1F7D">
        <w:t xml:space="preserve"> (</w:t>
      </w:r>
      <w:r w:rsidR="00044497">
        <w:t>1996</w:t>
      </w:r>
      <w:r w:rsidR="007F1F7D">
        <w:t>)</w:t>
      </w:r>
    </w:p>
    <w:p w14:paraId="4161DB3E" w14:textId="77777777" w:rsidR="004F7BCD" w:rsidRDefault="004F7BCD"/>
    <w:p w14:paraId="18CB5391" w14:textId="7123DB6B" w:rsidR="004F7BCD" w:rsidRDefault="004F7BCD">
      <w:commentRangeStart w:id="0"/>
      <w:r>
        <w:t xml:space="preserve">Transnational advocacy networks </w:t>
      </w:r>
      <w:r w:rsidR="00EC4F5F">
        <w:t xml:space="preserve">(TANs) </w:t>
      </w:r>
      <w:r>
        <w:t xml:space="preserve">have a storied history of </w:t>
      </w:r>
      <w:r w:rsidR="00EC4F5F">
        <w:t xml:space="preserve">effectively applying pressure on states to influence </w:t>
      </w:r>
      <w:r w:rsidR="007F1F7D">
        <w:t xml:space="preserve">them to change </w:t>
      </w:r>
      <w:r w:rsidR="00D236B7">
        <w:t xml:space="preserve">their </w:t>
      </w:r>
      <w:r w:rsidR="007F1F7D">
        <w:t>norms or behaviors</w:t>
      </w:r>
      <w:r w:rsidR="00EC4F5F">
        <w:t>, usually toward some end not sufficiently supported</w:t>
      </w:r>
      <w:r w:rsidR="007F1F7D">
        <w:t xml:space="preserve">. </w:t>
      </w:r>
      <w:commentRangeEnd w:id="0"/>
      <w:r w:rsidR="00D236B7">
        <w:rPr>
          <w:rStyle w:val="CommentReference"/>
          <w:sz w:val="24"/>
          <w:szCs w:val="24"/>
        </w:rPr>
        <w:commentReference w:id="0"/>
      </w:r>
      <w:r w:rsidR="007F1F7D">
        <w:t>In the documentary “Power: One River, Two Nations”, transnational advocacy is depicted as an effective method of resistance against the actions of the state-owned power utility Hydro-Québec. The Cree people, on whose</w:t>
      </w:r>
      <w:r w:rsidR="00D236B7">
        <w:t xml:space="preserve"> land</w:t>
      </w:r>
      <w:r w:rsidR="007F1F7D">
        <w:t xml:space="preserve"> Hydro-Quebec </w:t>
      </w:r>
      <w:r w:rsidR="00EC4F5F">
        <w:t>wants</w:t>
      </w:r>
      <w:r w:rsidR="007F1F7D">
        <w:t xml:space="preserve"> </w:t>
      </w:r>
      <w:r w:rsidR="00D236B7">
        <w:t>to build a hydroelectric dam</w:t>
      </w:r>
      <w:r w:rsidR="007F1F7D">
        <w:t xml:space="preserve">, work with American advocates and government actors to bring international attention to </w:t>
      </w:r>
      <w:r w:rsidR="009C1944">
        <w:t>Hydro-Québec</w:t>
      </w:r>
      <w:r w:rsidR="009C1944">
        <w:t xml:space="preserve"> </w:t>
      </w:r>
      <w:r w:rsidR="00EC4F5F">
        <w:t xml:space="preserve">unlawful </w:t>
      </w:r>
      <w:r w:rsidR="007F1F7D">
        <w:t>actions (</w:t>
      </w:r>
      <w:r w:rsidR="00EC4F5F">
        <w:t>continuing the</w:t>
      </w:r>
      <w:r w:rsidR="007F1F7D">
        <w:t xml:space="preserve"> project without the </w:t>
      </w:r>
      <w:r w:rsidR="00EC4F5F">
        <w:t>Cree’s consent</w:t>
      </w:r>
      <w:r w:rsidR="007F1F7D">
        <w:t xml:space="preserve"> or an environmental impact disclosure), which ultimately leads to the project being shelved indefinitely. </w:t>
      </w:r>
      <w:r w:rsidR="00EC4F5F">
        <w:t>Through this story</w:t>
      </w:r>
      <w:r w:rsidR="007F1F7D">
        <w:t xml:space="preserve">, the film </w:t>
      </w:r>
      <w:r w:rsidR="00EC4F5F">
        <w:t>expands the definition of</w:t>
      </w:r>
      <w:r w:rsidR="00D236B7">
        <w:t xml:space="preserve"> “transnational” and explores the potential weaknesses of advocacy work. </w:t>
      </w:r>
    </w:p>
    <w:p w14:paraId="383F6FAD" w14:textId="77777777" w:rsidR="00D236B7" w:rsidRDefault="00D236B7"/>
    <w:p w14:paraId="37F7E59C" w14:textId="286F653A" w:rsidR="004F7BCD" w:rsidRDefault="00D236B7">
      <w:r>
        <w:t xml:space="preserve">Invoking the movement of water itself, “Power” </w:t>
      </w:r>
      <w:r w:rsidR="0090031A">
        <w:t>shifts</w:t>
      </w:r>
      <w:r>
        <w:t xml:space="preserve"> fluidly between New York and Northern Quebec, following the then-Grand Chief of the Cree, Matthew Coon-Comes. </w:t>
      </w:r>
      <w:r w:rsidR="0090031A">
        <w:t xml:space="preserve">Throughout the documentary, </w:t>
      </w:r>
      <w:r>
        <w:t xml:space="preserve">Coon-Comes </w:t>
      </w:r>
      <w:r w:rsidR="0090031A">
        <w:t>oversees</w:t>
      </w:r>
      <w:r>
        <w:t xml:space="preserve"> Cree resistance</w:t>
      </w:r>
      <w:r w:rsidR="009C1944">
        <w:t xml:space="preserve"> to </w:t>
      </w:r>
      <w:r w:rsidR="009C1944">
        <w:t>Hydro-Québec</w:t>
      </w:r>
      <w:r w:rsidR="009C1944">
        <w:t xml:space="preserve"> </w:t>
      </w:r>
      <w:r>
        <w:t xml:space="preserve">through several avenues. The film makes passing reference to </w:t>
      </w:r>
      <w:r w:rsidR="009C1944">
        <w:t>lawsuits</w:t>
      </w:r>
      <w:r>
        <w:t xml:space="preserve"> but mostly focuses on Coon-Comes’ attempts to bring international scrutiny to </w:t>
      </w:r>
      <w:r w:rsidR="0090031A">
        <w:t xml:space="preserve">the Great Whale </w:t>
      </w:r>
      <w:r w:rsidR="009C1944">
        <w:t>project</w:t>
      </w:r>
      <w:r>
        <w:t xml:space="preserve">. His efforts begin with a PR stunt – </w:t>
      </w:r>
      <w:r w:rsidR="009C1944">
        <w:t>canoeing</w:t>
      </w:r>
      <w:r>
        <w:t xml:space="preserve"> from Hudson Bay to New York </w:t>
      </w:r>
      <w:r w:rsidR="009C1944">
        <w:t xml:space="preserve">City </w:t>
      </w:r>
      <w:r>
        <w:t xml:space="preserve">to </w:t>
      </w:r>
      <w:r w:rsidR="009C1944">
        <w:t xml:space="preserve">ask the state to </w:t>
      </w:r>
      <w:r>
        <w:t xml:space="preserve">withdraw from their </w:t>
      </w:r>
      <w:r w:rsidR="009C1944">
        <w:t xml:space="preserve">power </w:t>
      </w:r>
      <w:r>
        <w:t xml:space="preserve">purchasing agreement with </w:t>
      </w:r>
      <w:r w:rsidR="009C1944">
        <w:t>Hydro-Québec</w:t>
      </w:r>
      <w:r>
        <w:t xml:space="preserve">. The widely </w:t>
      </w:r>
      <w:r w:rsidR="0090031A">
        <w:t>reported on</w:t>
      </w:r>
      <w:r>
        <w:t xml:space="preserve"> canoe trip fits neatly </w:t>
      </w:r>
      <w:r w:rsidR="008B46F9">
        <w:t xml:space="preserve">in </w:t>
      </w:r>
      <w:r w:rsidR="00E85A1D">
        <w:t>the Sustainability Directory’s</w:t>
      </w:r>
      <w:r w:rsidR="008B46F9">
        <w:t xml:space="preserve"> toolbox for TANs, a form of pressure politics, which force change through tactics like “</w:t>
      </w:r>
      <w:r w:rsidR="008B46F9" w:rsidRPr="008B46F9">
        <w:t>consumer boycotts, protests, and public shaming</w:t>
      </w:r>
      <w:r w:rsidR="008B46F9">
        <w:t>” (cite). The canoe-trip brought international attention to the Cree’s journey, and their rhetoric around</w:t>
      </w:r>
      <w:r w:rsidR="009C1944" w:rsidRPr="009C1944">
        <w:t xml:space="preserve"> </w:t>
      </w:r>
      <w:r w:rsidR="009C1944">
        <w:t>Hydro-Québec</w:t>
      </w:r>
      <w:r w:rsidR="008B46F9">
        <w:t>’s actions (“</w:t>
      </w:r>
      <w:r w:rsidR="000054EA">
        <w:t>If they were to build a dam in America […] there would be an outcry. But when it happens on Indian lands, they ask us to move over – ‘move over Indian’ […] we are saying it is unacceptable</w:t>
      </w:r>
      <w:r w:rsidR="008B46F9">
        <w:t>”) are the consummate definition of public shaming</w:t>
      </w:r>
      <w:r w:rsidR="000054EA">
        <w:t xml:space="preserve"> (</w:t>
      </w:r>
      <w:r w:rsidR="00EC4F5F">
        <w:t>00:17:09</w:t>
      </w:r>
      <w:r w:rsidR="000054EA">
        <w:t>)</w:t>
      </w:r>
      <w:r w:rsidR="008B46F9">
        <w:t xml:space="preserve">. The Cree’s work in New York also took advantage of their unique access. </w:t>
      </w:r>
      <w:r w:rsidR="0090031A">
        <w:t xml:space="preserve">Not only did they work with a New York state legislator to introduce the bill that would eventually withdraw New York from the purchasing agreement, but they also elevated the issue’s importance by working with </w:t>
      </w:r>
      <w:r w:rsidR="008B46F9">
        <w:t>political celebrity Robert F. Kennedy</w:t>
      </w:r>
      <w:r w:rsidR="0090031A">
        <w:t xml:space="preserve">. Not only was this issue within his policy portfolio, but his reputation was so well known that it gave the Cree’s complaint a higher degree of legitimacy. Through public shame, international attention, and protest, the Cree used pressure politics </w:t>
      </w:r>
      <w:r w:rsidR="001F730D">
        <w:t xml:space="preserve">to slow the dam development. </w:t>
      </w:r>
    </w:p>
    <w:p w14:paraId="511C3085" w14:textId="77777777" w:rsidR="001F730D" w:rsidRDefault="001F730D"/>
    <w:p w14:paraId="240633A4" w14:textId="7C16105B" w:rsidR="001F730D" w:rsidRDefault="001F730D">
      <w:r>
        <w:t xml:space="preserve">However, the Cree aren’t a traditional transnational advocacy network. Outside of RFK Jr., the Cree work across international lines primarily with governmental actors – members of the New York public legislature are technically part of the state. However, through its exploration of “the Cree”, “Power” suggests a new definition of transnationalism. One of the documentary’s strong points is a common weakness of other media: the tendency to homogenize and make a monolith all Native people. While the documentary shows that Coon-Comes is the elected Grand-Chief of the Cree, and the spokesperson on their behalf in American rooms, it also shows the fractious people he’s tasked with representing. Over the years fighting against Hydro-Quebec, the Cree people face internal conflict and disagreement about the best course of </w:t>
      </w:r>
      <w:r>
        <w:lastRenderedPageBreak/>
        <w:t xml:space="preserve">action. Where some are willing to concede to </w:t>
      </w:r>
      <w:r w:rsidR="009C1944">
        <w:t>Hydro-Québec</w:t>
      </w:r>
      <w:r>
        <w:t>’s offer of recompense for flooding in a James Bay Dam (Coon-Comes), the documentary spends time with Cree of all perspectives – those who believe the Cree cannot accept anything from the Canadian government (Chief of Great Whale Matthew Mukash), and those who are even more insular, and distrustful of any non-Cree (Chief of the Waskaganish Billy Diamond or activist Dian</w:t>
      </w:r>
      <w:r w:rsidR="00234104">
        <w:t>n</w:t>
      </w:r>
      <w:r>
        <w:t>e Reid). The film also spends time outside of decision</w:t>
      </w:r>
      <w:r w:rsidR="00234104">
        <w:t>-</w:t>
      </w:r>
      <w:r>
        <w:t xml:space="preserve">making rooms, showing the </w:t>
      </w:r>
      <w:r w:rsidR="00BE1FA9">
        <w:t>community forums</w:t>
      </w:r>
      <w:r>
        <w:t xml:space="preserve"> where Cree elders and activists try to persuade their leaders to pursue one course of action or another. </w:t>
      </w:r>
      <w:r w:rsidR="00BE1FA9">
        <w:t xml:space="preserve">Further, this issue isn’t just affecting the Cree – the canoe from Quebec to New York also carried Inuit leaders whose lands would also be affected by Great Whale. All of these parties together suggest that “Power”’s definition of transnational doesn’t rely on formal state lines – but rather that any motion carried out by the entire the Cree nation or many Indigenous bands (and thus, all forms of resistance to Hydro-Quebec in the film) is inherently transnational because the people are not one state. </w:t>
      </w:r>
    </w:p>
    <w:p w14:paraId="450E609B" w14:textId="77777777" w:rsidR="00BE1FA9" w:rsidRDefault="00BE1FA9"/>
    <w:p w14:paraId="45AB7A5C" w14:textId="43C1677E" w:rsidR="00BE1FA9" w:rsidRDefault="00BE1FA9">
      <w:r>
        <w:t>The film’s exploration of the various components of Cree resistance also highlights the unique weaknesses of TANs</w:t>
      </w:r>
      <w:r w:rsidR="009D2B59">
        <w:t xml:space="preserve">. Any group of people </w:t>
      </w:r>
      <w:r w:rsidR="00450BC2">
        <w:t xml:space="preserve">that large </w:t>
      </w:r>
      <w:r w:rsidR="009D2B59">
        <w:t xml:space="preserve">working together without the </w:t>
      </w:r>
      <w:r w:rsidR="00E85A1D">
        <w:t xml:space="preserve">defined </w:t>
      </w:r>
      <w:r w:rsidR="009D2B59">
        <w:t xml:space="preserve">bounds of </w:t>
      </w:r>
      <w:r w:rsidR="00450BC2">
        <w:t xml:space="preserve">a </w:t>
      </w:r>
      <w:r w:rsidR="00E85A1D">
        <w:t xml:space="preserve">formal </w:t>
      </w:r>
      <w:r w:rsidR="00450BC2">
        <w:t xml:space="preserve">structure risks their movement losing momentum or dissolving entirely </w:t>
      </w:r>
      <w:r w:rsidR="00E85A1D">
        <w:t>– a network is only as strong as its connections. Throughout the film, the Cree often face setbacks and internal conflicts, the strongest of which is when Hydro-Quebec offers $50 million in compensatory funds for flooding damage from another dam project. Coon-Comes accepts the funding despite the protests from other Chiefs, concerned that it weakens their political resistance to the Great Whale project. The film shows how deep of a betrayal Coon-Comes’ executive decision was by likening it to the initial sale of Cree lands to the Quebec government in 19</w:t>
      </w:r>
      <w:r w:rsidR="000054EA">
        <w:t>75</w:t>
      </w:r>
      <w:r w:rsidR="00E85A1D">
        <w:t xml:space="preserve">. The film poignantly illustrates the tension between a collective and non-hierarchical structure (the Cree TAN) and an outside world which doesn’t allow for nuanced </w:t>
      </w:r>
      <w:r w:rsidR="00D34ED2">
        <w:t>choice, but</w:t>
      </w:r>
      <w:r w:rsidR="00E85A1D">
        <w:t xml:space="preserve"> </w:t>
      </w:r>
      <w:r w:rsidR="00D34ED2">
        <w:t xml:space="preserve">rather </w:t>
      </w:r>
      <w:r w:rsidR="00E85A1D">
        <w:t>demands a singular representative of the Cree sign or not sign a contract agreement.</w:t>
      </w:r>
      <w:r w:rsidR="00D34ED2">
        <w:t xml:space="preserve"> Further, it also shows that a structure without a formal measure of accountability can be corrupted – that any decision made by Coon-Comes</w:t>
      </w:r>
      <w:r w:rsidR="00E85A1D">
        <w:t xml:space="preserve"> </w:t>
      </w:r>
      <w:r w:rsidR="00D34ED2">
        <w:t xml:space="preserve">could not be stopped but only retroactively condemned through his impeachment or </w:t>
      </w:r>
      <w:r w:rsidR="00E70849">
        <w:t xml:space="preserve">replacement. </w:t>
      </w:r>
      <w:r w:rsidR="00D34ED2">
        <w:t xml:space="preserve">In so doing, </w:t>
      </w:r>
      <w:r w:rsidR="00E70849">
        <w:t xml:space="preserve">not only does </w:t>
      </w:r>
      <w:r w:rsidR="00D34ED2">
        <w:t xml:space="preserve">“Power” </w:t>
      </w:r>
      <w:r w:rsidR="00E70849">
        <w:t xml:space="preserve">redefine TANs, but it </w:t>
      </w:r>
      <w:r w:rsidR="00D34ED2">
        <w:t>shows the</w:t>
      </w:r>
      <w:r w:rsidR="00E70849">
        <w:t xml:space="preserve">ir </w:t>
      </w:r>
      <w:r w:rsidR="00D34ED2">
        <w:t xml:space="preserve">fragility in a way our other </w:t>
      </w:r>
      <w:r w:rsidR="00E70849">
        <w:t xml:space="preserve">in class </w:t>
      </w:r>
      <w:r w:rsidR="00D34ED2">
        <w:t xml:space="preserve">materials do not. </w:t>
      </w:r>
    </w:p>
    <w:sectPr w:rsidR="00BE1FA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rohi Kumar" w:date="2026-03-02T18:58:00Z" w:initials="SK">
    <w:p w14:paraId="208A0918" w14:textId="77777777" w:rsidR="00D236B7" w:rsidRDefault="00D236B7" w:rsidP="00D236B7">
      <w:r>
        <w:rPr>
          <w:rStyle w:val="CommentReference"/>
        </w:rPr>
        <w:annotationRef/>
      </w:r>
      <w:r>
        <w:rPr>
          <w:sz w:val="20"/>
          <w:szCs w:val="20"/>
        </w:rPr>
        <w:t>combine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8A09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64C445" w16cex:dateUtc="2026-03-02T2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8A0918" w16cid:durableId="6764C4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A730E" w14:textId="77777777" w:rsidR="00367C9D" w:rsidRDefault="00367C9D" w:rsidP="0090031A">
      <w:r>
        <w:separator/>
      </w:r>
    </w:p>
  </w:endnote>
  <w:endnote w:type="continuationSeparator" w:id="0">
    <w:p w14:paraId="64FD37C6" w14:textId="77777777" w:rsidR="00367C9D" w:rsidRDefault="00367C9D" w:rsidP="009003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angal (Body CS)">
    <w:altName w:val="Mangal"/>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EB3AC" w14:textId="77777777" w:rsidR="00367C9D" w:rsidRDefault="00367C9D" w:rsidP="0090031A">
      <w:r>
        <w:separator/>
      </w:r>
    </w:p>
  </w:footnote>
  <w:footnote w:type="continuationSeparator" w:id="0">
    <w:p w14:paraId="548A8D9A" w14:textId="77777777" w:rsidR="00367C9D" w:rsidRDefault="00367C9D" w:rsidP="009003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EE6F27"/>
    <w:multiLevelType w:val="hybridMultilevel"/>
    <w:tmpl w:val="C0CE1902"/>
    <w:lvl w:ilvl="0" w:tplc="4D8EA3B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84450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rohi Kumar">
    <w15:presenceInfo w15:providerId="AD" w15:userId="S::skumar87@smith.edu::d79e70d5-d0a0-44e6-81f3-c21c265a25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87A"/>
    <w:rsid w:val="000054EA"/>
    <w:rsid w:val="00044497"/>
    <w:rsid w:val="001D467F"/>
    <w:rsid w:val="001F730D"/>
    <w:rsid w:val="00234104"/>
    <w:rsid w:val="00367C9D"/>
    <w:rsid w:val="00395779"/>
    <w:rsid w:val="00450BC2"/>
    <w:rsid w:val="004E56EF"/>
    <w:rsid w:val="004F7BCD"/>
    <w:rsid w:val="00734C3D"/>
    <w:rsid w:val="007F1F7D"/>
    <w:rsid w:val="007F71B1"/>
    <w:rsid w:val="008A1EAA"/>
    <w:rsid w:val="008B46F9"/>
    <w:rsid w:val="0090031A"/>
    <w:rsid w:val="009B79DB"/>
    <w:rsid w:val="009C1944"/>
    <w:rsid w:val="009D2B59"/>
    <w:rsid w:val="00A7687A"/>
    <w:rsid w:val="00BE1FA9"/>
    <w:rsid w:val="00D236B7"/>
    <w:rsid w:val="00D34ED2"/>
    <w:rsid w:val="00D53AE5"/>
    <w:rsid w:val="00D95978"/>
    <w:rsid w:val="00E70849"/>
    <w:rsid w:val="00E85A1D"/>
    <w:rsid w:val="00EC4F5F"/>
    <w:rsid w:val="00FC143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2B93019F"/>
  <w15:chartTrackingRefBased/>
  <w15:docId w15:val="{5E4354A2-E4E5-2348-9B1A-F1F94A7A4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Mangal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68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8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87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87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7687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7687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7687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7687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7687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8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8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87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87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7687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7687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7687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7687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7687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768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87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87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7687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7687A"/>
    <w:rPr>
      <w:i/>
      <w:iCs/>
      <w:color w:val="404040" w:themeColor="text1" w:themeTint="BF"/>
    </w:rPr>
  </w:style>
  <w:style w:type="paragraph" w:styleId="ListParagraph">
    <w:name w:val="List Paragraph"/>
    <w:basedOn w:val="Normal"/>
    <w:uiPriority w:val="34"/>
    <w:qFormat/>
    <w:rsid w:val="00A7687A"/>
    <w:pPr>
      <w:ind w:left="720"/>
      <w:contextualSpacing/>
    </w:pPr>
  </w:style>
  <w:style w:type="character" w:styleId="IntenseEmphasis">
    <w:name w:val="Intense Emphasis"/>
    <w:basedOn w:val="DefaultParagraphFont"/>
    <w:uiPriority w:val="21"/>
    <w:qFormat/>
    <w:rsid w:val="00A7687A"/>
    <w:rPr>
      <w:i/>
      <w:iCs/>
      <w:color w:val="0F4761" w:themeColor="accent1" w:themeShade="BF"/>
    </w:rPr>
  </w:style>
  <w:style w:type="paragraph" w:styleId="IntenseQuote">
    <w:name w:val="Intense Quote"/>
    <w:basedOn w:val="Normal"/>
    <w:next w:val="Normal"/>
    <w:link w:val="IntenseQuoteChar"/>
    <w:uiPriority w:val="30"/>
    <w:qFormat/>
    <w:rsid w:val="00A76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87A"/>
    <w:rPr>
      <w:i/>
      <w:iCs/>
      <w:color w:val="0F4761" w:themeColor="accent1" w:themeShade="BF"/>
    </w:rPr>
  </w:style>
  <w:style w:type="character" w:styleId="IntenseReference">
    <w:name w:val="Intense Reference"/>
    <w:basedOn w:val="DefaultParagraphFont"/>
    <w:uiPriority w:val="32"/>
    <w:qFormat/>
    <w:rsid w:val="00A7687A"/>
    <w:rPr>
      <w:b/>
      <w:bCs/>
      <w:smallCaps/>
      <w:color w:val="0F4761" w:themeColor="accent1" w:themeShade="BF"/>
      <w:spacing w:val="5"/>
    </w:rPr>
  </w:style>
  <w:style w:type="character" w:styleId="CommentReference">
    <w:name w:val="annotation reference"/>
    <w:basedOn w:val="DefaultParagraphFont"/>
    <w:uiPriority w:val="99"/>
    <w:semiHidden/>
    <w:unhideWhenUsed/>
    <w:rsid w:val="00D236B7"/>
    <w:rPr>
      <w:sz w:val="16"/>
      <w:szCs w:val="16"/>
    </w:rPr>
  </w:style>
  <w:style w:type="paragraph" w:styleId="CommentText">
    <w:name w:val="annotation text"/>
    <w:basedOn w:val="Normal"/>
    <w:link w:val="CommentTextChar"/>
    <w:uiPriority w:val="99"/>
    <w:semiHidden/>
    <w:unhideWhenUsed/>
    <w:rsid w:val="00D236B7"/>
    <w:rPr>
      <w:sz w:val="20"/>
      <w:szCs w:val="20"/>
    </w:rPr>
  </w:style>
  <w:style w:type="character" w:customStyle="1" w:styleId="CommentTextChar">
    <w:name w:val="Comment Text Char"/>
    <w:basedOn w:val="DefaultParagraphFont"/>
    <w:link w:val="CommentText"/>
    <w:uiPriority w:val="99"/>
    <w:semiHidden/>
    <w:rsid w:val="00D236B7"/>
    <w:rPr>
      <w:sz w:val="20"/>
      <w:szCs w:val="20"/>
    </w:rPr>
  </w:style>
  <w:style w:type="paragraph" w:styleId="CommentSubject">
    <w:name w:val="annotation subject"/>
    <w:basedOn w:val="CommentText"/>
    <w:next w:val="CommentText"/>
    <w:link w:val="CommentSubjectChar"/>
    <w:uiPriority w:val="99"/>
    <w:semiHidden/>
    <w:unhideWhenUsed/>
    <w:rsid w:val="00D236B7"/>
    <w:rPr>
      <w:b/>
      <w:bCs/>
    </w:rPr>
  </w:style>
  <w:style w:type="character" w:customStyle="1" w:styleId="CommentSubjectChar">
    <w:name w:val="Comment Subject Char"/>
    <w:basedOn w:val="CommentTextChar"/>
    <w:link w:val="CommentSubject"/>
    <w:uiPriority w:val="99"/>
    <w:semiHidden/>
    <w:rsid w:val="00D236B7"/>
    <w:rPr>
      <w:b/>
      <w:bCs/>
      <w:sz w:val="20"/>
      <w:szCs w:val="20"/>
    </w:rPr>
  </w:style>
  <w:style w:type="paragraph" w:styleId="Header">
    <w:name w:val="header"/>
    <w:basedOn w:val="Normal"/>
    <w:link w:val="HeaderChar"/>
    <w:uiPriority w:val="99"/>
    <w:unhideWhenUsed/>
    <w:rsid w:val="0090031A"/>
    <w:pPr>
      <w:tabs>
        <w:tab w:val="center" w:pos="4680"/>
        <w:tab w:val="right" w:pos="9360"/>
      </w:tabs>
    </w:pPr>
  </w:style>
  <w:style w:type="character" w:customStyle="1" w:styleId="HeaderChar">
    <w:name w:val="Header Char"/>
    <w:basedOn w:val="DefaultParagraphFont"/>
    <w:link w:val="Header"/>
    <w:uiPriority w:val="99"/>
    <w:rsid w:val="0090031A"/>
  </w:style>
  <w:style w:type="paragraph" w:styleId="Footer">
    <w:name w:val="footer"/>
    <w:basedOn w:val="Normal"/>
    <w:link w:val="FooterChar"/>
    <w:uiPriority w:val="99"/>
    <w:unhideWhenUsed/>
    <w:rsid w:val="0090031A"/>
    <w:pPr>
      <w:tabs>
        <w:tab w:val="center" w:pos="4680"/>
        <w:tab w:val="right" w:pos="9360"/>
      </w:tabs>
    </w:pPr>
  </w:style>
  <w:style w:type="character" w:customStyle="1" w:styleId="FooterChar">
    <w:name w:val="Footer Char"/>
    <w:basedOn w:val="DefaultParagraphFont"/>
    <w:link w:val="Footer"/>
    <w:uiPriority w:val="99"/>
    <w:rsid w:val="009003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926</Words>
  <Characters>5283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Sirohi Kumar</dc:creator>
  <cp:keywords/>
  <dc:description/>
  <cp:lastModifiedBy>Sirohi Kumar</cp:lastModifiedBy>
  <cp:revision>10</cp:revision>
  <dcterms:created xsi:type="dcterms:W3CDTF">2026-03-02T23:05:00Z</dcterms:created>
  <dcterms:modified xsi:type="dcterms:W3CDTF">2026-03-03T01:47:00Z</dcterms:modified>
</cp:coreProperties>
</file>