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ECDB7" w14:textId="77777777" w:rsidR="007B2341" w:rsidRPr="007B2341" w:rsidRDefault="007B2341" w:rsidP="007B2341">
      <w:pPr>
        <w:pStyle w:val="Header"/>
        <w:rPr>
          <w:rFonts w:cs="Times New Roman"/>
        </w:rPr>
      </w:pPr>
      <w:r w:rsidRPr="007B2341">
        <w:rPr>
          <w:rFonts w:cs="Times New Roman"/>
        </w:rPr>
        <w:t>Harris McCall</w:t>
      </w:r>
    </w:p>
    <w:p w14:paraId="06B6D20E" w14:textId="77777777" w:rsidR="007B2341" w:rsidRPr="007B2341" w:rsidRDefault="007B2341" w:rsidP="007B2341">
      <w:pPr>
        <w:pStyle w:val="Header"/>
        <w:rPr>
          <w:rFonts w:cs="Times New Roman"/>
        </w:rPr>
      </w:pPr>
      <w:r w:rsidRPr="007B2341">
        <w:rPr>
          <w:rFonts w:cs="Times New Roman"/>
        </w:rPr>
        <w:t>CSIA 300</w:t>
      </w:r>
    </w:p>
    <w:p w14:paraId="17ED00A8" w14:textId="23443E78" w:rsidR="007B2341" w:rsidRPr="007B2341" w:rsidRDefault="007B2341" w:rsidP="007B2341">
      <w:pPr>
        <w:pStyle w:val="Header"/>
        <w:rPr>
          <w:rFonts w:cs="Times New Roman"/>
        </w:rPr>
      </w:pPr>
      <w:r w:rsidRPr="007B2341">
        <w:rPr>
          <w:rFonts w:cs="Times New Roman"/>
        </w:rPr>
        <w:t>Matt Boehnke</w:t>
      </w:r>
    </w:p>
    <w:p w14:paraId="2EA51E21" w14:textId="528D75CC" w:rsidR="007B2341" w:rsidRPr="007B2341" w:rsidRDefault="007B2341" w:rsidP="007B2341">
      <w:pPr>
        <w:pStyle w:val="Header"/>
        <w:rPr>
          <w:rFonts w:cs="Times New Roman"/>
        </w:rPr>
      </w:pPr>
      <w:r w:rsidRPr="007B2341">
        <w:rPr>
          <w:rFonts w:cs="Times New Roman"/>
        </w:rPr>
        <w:t xml:space="preserve">Lab </w:t>
      </w:r>
      <w:r w:rsidRPr="007B2341">
        <w:rPr>
          <w:rFonts w:cs="Times New Roman"/>
        </w:rPr>
        <w:t>2</w:t>
      </w:r>
    </w:p>
    <w:p w14:paraId="7E535AE4" w14:textId="77777777" w:rsidR="007B2341" w:rsidRPr="007B2341" w:rsidRDefault="007B2341" w:rsidP="001C0F3A">
      <w:pPr>
        <w:jc w:val="center"/>
        <w:rPr>
          <w:rFonts w:cs="Times New Roman"/>
          <w:b/>
          <w:bCs/>
          <w:sz w:val="28"/>
          <w:szCs w:val="24"/>
        </w:rPr>
      </w:pPr>
    </w:p>
    <w:p w14:paraId="54AB2B3A" w14:textId="0F81B6ED" w:rsidR="001C0F3A" w:rsidRPr="007B2341" w:rsidRDefault="001C0F3A" w:rsidP="001C0F3A">
      <w:pPr>
        <w:jc w:val="center"/>
        <w:rPr>
          <w:rFonts w:cs="Times New Roman"/>
          <w:b/>
          <w:bCs/>
          <w:sz w:val="28"/>
          <w:szCs w:val="24"/>
        </w:rPr>
      </w:pPr>
      <w:r w:rsidRPr="007B2341">
        <w:rPr>
          <w:rFonts w:cs="Times New Roman"/>
          <w:b/>
          <w:bCs/>
          <w:sz w:val="28"/>
          <w:szCs w:val="24"/>
        </w:rPr>
        <w:t>XYZ Corp</w:t>
      </w:r>
    </w:p>
    <w:p w14:paraId="59B33049" w14:textId="02821D50" w:rsidR="001C0F3A" w:rsidRPr="007B2341" w:rsidRDefault="001C0F3A" w:rsidP="001C0F3A">
      <w:pPr>
        <w:jc w:val="center"/>
        <w:rPr>
          <w:rFonts w:cs="Times New Roman"/>
          <w:b/>
          <w:bCs/>
          <w:sz w:val="28"/>
          <w:szCs w:val="24"/>
        </w:rPr>
      </w:pPr>
      <w:r w:rsidRPr="007B2341">
        <w:rPr>
          <w:rFonts w:cs="Times New Roman"/>
          <w:b/>
          <w:bCs/>
          <w:sz w:val="28"/>
          <w:szCs w:val="24"/>
        </w:rPr>
        <w:t>Data Retention and Data Destruction Policy</w:t>
      </w:r>
    </w:p>
    <w:p w14:paraId="027431C1" w14:textId="32FD51FC" w:rsidR="001C0F3A" w:rsidRPr="007B2341" w:rsidRDefault="001C0F3A" w:rsidP="006A267E">
      <w:pPr>
        <w:jc w:val="center"/>
        <w:rPr>
          <w:rFonts w:cs="Times New Roman"/>
          <w:i/>
          <w:iCs/>
        </w:rPr>
      </w:pPr>
      <w:r w:rsidRPr="007B2341">
        <w:rPr>
          <w:rFonts w:cs="Times New Roman"/>
          <w:i/>
          <w:iCs/>
        </w:rPr>
        <w:t>Effective Date: 06/01/2023</w:t>
      </w:r>
    </w:p>
    <w:p w14:paraId="6A6EF819" w14:textId="41F718BD" w:rsidR="001C0F3A" w:rsidRPr="007B2341" w:rsidRDefault="001C0F3A" w:rsidP="001C0F3A">
      <w:pPr>
        <w:rPr>
          <w:rFonts w:cs="Times New Roman"/>
          <w:b/>
          <w:bCs/>
        </w:rPr>
      </w:pPr>
      <w:r w:rsidRPr="007B2341">
        <w:rPr>
          <w:rFonts w:cs="Times New Roman"/>
          <w:b/>
          <w:bCs/>
        </w:rPr>
        <w:t>1. Introduction</w:t>
      </w:r>
    </w:p>
    <w:p w14:paraId="3E30C587" w14:textId="6F6A162F" w:rsidR="001C0F3A" w:rsidRPr="007B2341" w:rsidRDefault="001C0F3A" w:rsidP="001C0F3A">
      <w:pPr>
        <w:rPr>
          <w:rFonts w:cs="Times New Roman"/>
        </w:rPr>
      </w:pPr>
      <w:r w:rsidRPr="007B2341">
        <w:rPr>
          <w:rFonts w:cs="Times New Roman"/>
        </w:rPr>
        <w:t>XYZ Corp (referred to as "the Company"</w:t>
      </w:r>
      <w:r w:rsidR="00F554A6" w:rsidRPr="007B2341">
        <w:rPr>
          <w:rFonts w:cs="Times New Roman"/>
        </w:rPr>
        <w:t xml:space="preserve"> from this point onward</w:t>
      </w:r>
      <w:r w:rsidRPr="007B2341">
        <w:rPr>
          <w:rFonts w:cs="Times New Roman"/>
        </w:rPr>
        <w:t>) recognizes the importance of managing and retaining data in a responsible and compliant manner. This Data Retention and Data Destruction Policy outlines the</w:t>
      </w:r>
      <w:r w:rsidR="00433B97" w:rsidRPr="007B2341">
        <w:rPr>
          <w:rFonts w:cs="Times New Roman"/>
        </w:rPr>
        <w:t xml:space="preserve"> </w:t>
      </w:r>
      <w:r w:rsidRPr="007B2341">
        <w:rPr>
          <w:rFonts w:cs="Times New Roman"/>
        </w:rPr>
        <w:t>procedures</w:t>
      </w:r>
      <w:r w:rsidR="00433B97" w:rsidRPr="007B2341">
        <w:rPr>
          <w:rFonts w:cs="Times New Roman"/>
        </w:rPr>
        <w:t xml:space="preserve"> and guidelines</w:t>
      </w:r>
      <w:r w:rsidRPr="007B2341">
        <w:rPr>
          <w:rFonts w:cs="Times New Roman"/>
        </w:rPr>
        <w:t xml:space="preserve"> for the retention and secure disposal of company data.</w:t>
      </w:r>
    </w:p>
    <w:p w14:paraId="70169BD7" w14:textId="77777777" w:rsidR="001C0F3A" w:rsidRPr="007B2341" w:rsidRDefault="001C0F3A" w:rsidP="001C0F3A">
      <w:pPr>
        <w:rPr>
          <w:rFonts w:cs="Times New Roman"/>
        </w:rPr>
      </w:pPr>
    </w:p>
    <w:p w14:paraId="1CA4B917" w14:textId="51F22B32" w:rsidR="009E50A1" w:rsidRPr="007B2341" w:rsidRDefault="009E50A1" w:rsidP="001C0F3A">
      <w:pPr>
        <w:rPr>
          <w:rFonts w:cs="Times New Roman"/>
          <w:b/>
          <w:bCs/>
        </w:rPr>
      </w:pPr>
      <w:r w:rsidRPr="007B2341">
        <w:rPr>
          <w:rFonts w:cs="Times New Roman"/>
          <w:b/>
          <w:bCs/>
        </w:rPr>
        <w:t>2. Key Terms</w:t>
      </w:r>
    </w:p>
    <w:p w14:paraId="15C7710F" w14:textId="071E9435" w:rsidR="006A267E" w:rsidRPr="007B2341" w:rsidRDefault="006A267E" w:rsidP="006A267E">
      <w:pPr>
        <w:pStyle w:val="ListParagraph"/>
        <w:numPr>
          <w:ilvl w:val="0"/>
          <w:numId w:val="2"/>
        </w:numPr>
        <w:rPr>
          <w:rFonts w:cs="Times New Roman"/>
          <w:b/>
          <w:bCs/>
        </w:rPr>
      </w:pPr>
      <w:r w:rsidRPr="007B2341">
        <w:rPr>
          <w:rFonts w:cs="Times New Roman"/>
          <w:b/>
          <w:bCs/>
        </w:rPr>
        <w:t>Data Classification:</w:t>
      </w:r>
      <w:r w:rsidRPr="007B2341">
        <w:rPr>
          <w:rFonts w:cs="Times New Roman"/>
        </w:rPr>
        <w:t xml:space="preserve"> The categorization of data based on its sensitivity, importance, regulatory requirements used to determine how to appropriately handle said data.</w:t>
      </w:r>
    </w:p>
    <w:p w14:paraId="476EEE6E" w14:textId="19383F10" w:rsidR="006A267E" w:rsidRPr="007B2341" w:rsidRDefault="006A267E" w:rsidP="006A267E">
      <w:pPr>
        <w:pStyle w:val="ListParagraph"/>
        <w:numPr>
          <w:ilvl w:val="0"/>
          <w:numId w:val="2"/>
        </w:numPr>
        <w:rPr>
          <w:rFonts w:cs="Times New Roman"/>
          <w:b/>
          <w:bCs/>
        </w:rPr>
      </w:pPr>
      <w:r w:rsidRPr="007B2341">
        <w:rPr>
          <w:rFonts w:cs="Times New Roman"/>
          <w:b/>
          <w:bCs/>
        </w:rPr>
        <w:t>Data Custodian:</w:t>
      </w:r>
      <w:r w:rsidRPr="007B2341">
        <w:rPr>
          <w:rFonts w:cs="Times New Roman"/>
        </w:rPr>
        <w:t xml:space="preserve"> The individual(s) responsible for overseeing the handling of data within the organization.</w:t>
      </w:r>
    </w:p>
    <w:p w14:paraId="0FC5EA95" w14:textId="37EE18ED" w:rsidR="006A267E" w:rsidRPr="007B2341" w:rsidRDefault="006A267E" w:rsidP="006A267E">
      <w:pPr>
        <w:pStyle w:val="ListParagraph"/>
        <w:numPr>
          <w:ilvl w:val="0"/>
          <w:numId w:val="2"/>
        </w:numPr>
        <w:rPr>
          <w:rFonts w:cs="Times New Roman"/>
          <w:b/>
          <w:bCs/>
        </w:rPr>
      </w:pPr>
      <w:r w:rsidRPr="007B2341">
        <w:rPr>
          <w:rFonts w:cs="Times New Roman"/>
          <w:b/>
          <w:bCs/>
        </w:rPr>
        <w:t>Data Privacy Officer:</w:t>
      </w:r>
      <w:r w:rsidRPr="007B2341">
        <w:rPr>
          <w:rFonts w:cs="Times New Roman"/>
        </w:rPr>
        <w:t xml:space="preserve"> The individual who ensures compliance with data protection laws, regulations, and company policy.</w:t>
      </w:r>
    </w:p>
    <w:p w14:paraId="298A3D63" w14:textId="36FB6C86" w:rsidR="006A267E" w:rsidRPr="007B2341" w:rsidRDefault="006A267E" w:rsidP="006A267E">
      <w:pPr>
        <w:pStyle w:val="ListParagraph"/>
        <w:numPr>
          <w:ilvl w:val="0"/>
          <w:numId w:val="2"/>
        </w:numPr>
        <w:rPr>
          <w:rFonts w:cs="Times New Roman"/>
          <w:b/>
          <w:bCs/>
        </w:rPr>
      </w:pPr>
      <w:r w:rsidRPr="007B2341">
        <w:rPr>
          <w:rFonts w:cs="Times New Roman"/>
          <w:b/>
          <w:bCs/>
        </w:rPr>
        <w:t>Secure Erasure:</w:t>
      </w:r>
      <w:r w:rsidRPr="007B2341">
        <w:rPr>
          <w:rFonts w:cs="Times New Roman"/>
        </w:rPr>
        <w:t xml:space="preserve"> The process of permanently and effectively deleting or disposing of data so that it is irrecoverable by any entity.</w:t>
      </w:r>
    </w:p>
    <w:p w14:paraId="716E1943" w14:textId="0C13A166" w:rsidR="006A267E" w:rsidRPr="007B2341" w:rsidRDefault="006A267E" w:rsidP="006A267E">
      <w:pPr>
        <w:pStyle w:val="ListParagraph"/>
        <w:numPr>
          <w:ilvl w:val="0"/>
          <w:numId w:val="2"/>
        </w:numPr>
        <w:rPr>
          <w:rFonts w:cs="Times New Roman"/>
          <w:b/>
          <w:bCs/>
        </w:rPr>
      </w:pPr>
      <w:r w:rsidRPr="007B2341">
        <w:rPr>
          <w:rFonts w:cs="Times New Roman"/>
          <w:b/>
          <w:bCs/>
        </w:rPr>
        <w:t>Litigation Exception:</w:t>
      </w:r>
      <w:r w:rsidRPr="007B2341">
        <w:rPr>
          <w:rFonts w:cs="Times New Roman"/>
        </w:rPr>
        <w:t xml:space="preserve"> The act of preserving data for the use in pending or anticipated legal processes.</w:t>
      </w:r>
    </w:p>
    <w:p w14:paraId="2AF0E3B8" w14:textId="77777777" w:rsidR="009E50A1" w:rsidRPr="007B2341" w:rsidRDefault="009E50A1" w:rsidP="001C0F3A">
      <w:pPr>
        <w:rPr>
          <w:rFonts w:cs="Times New Roman"/>
        </w:rPr>
      </w:pPr>
    </w:p>
    <w:p w14:paraId="04D737F9" w14:textId="109185E0" w:rsidR="001C0F3A" w:rsidRPr="007B2341" w:rsidRDefault="009E50A1" w:rsidP="001C0F3A">
      <w:pPr>
        <w:rPr>
          <w:rFonts w:cs="Times New Roman"/>
          <w:b/>
          <w:bCs/>
        </w:rPr>
      </w:pPr>
      <w:r w:rsidRPr="007B2341">
        <w:rPr>
          <w:rFonts w:cs="Times New Roman"/>
          <w:b/>
          <w:bCs/>
        </w:rPr>
        <w:t>3</w:t>
      </w:r>
      <w:r w:rsidR="001C0F3A" w:rsidRPr="007B2341">
        <w:rPr>
          <w:rFonts w:cs="Times New Roman"/>
          <w:b/>
          <w:bCs/>
        </w:rPr>
        <w:t>. Purpose</w:t>
      </w:r>
    </w:p>
    <w:p w14:paraId="249EEEC3" w14:textId="37164679" w:rsidR="001C0F3A" w:rsidRPr="007B2341" w:rsidRDefault="001C0F3A" w:rsidP="001C0F3A">
      <w:pPr>
        <w:rPr>
          <w:rFonts w:cs="Times New Roman"/>
        </w:rPr>
      </w:pPr>
      <w:r w:rsidRPr="007B2341">
        <w:rPr>
          <w:rFonts w:cs="Times New Roman"/>
        </w:rPr>
        <w:t>The purpose of this policy is to:</w:t>
      </w:r>
    </w:p>
    <w:p w14:paraId="74577007" w14:textId="20D3344C" w:rsidR="009E50A1" w:rsidRPr="007B2341" w:rsidRDefault="001C0F3A" w:rsidP="00DE124E">
      <w:pPr>
        <w:pStyle w:val="ListParagraph"/>
        <w:numPr>
          <w:ilvl w:val="0"/>
          <w:numId w:val="4"/>
        </w:numPr>
        <w:rPr>
          <w:rFonts w:cs="Times New Roman"/>
        </w:rPr>
      </w:pPr>
      <w:r w:rsidRPr="007B2341">
        <w:rPr>
          <w:rFonts w:cs="Times New Roman"/>
        </w:rPr>
        <w:t xml:space="preserve">Ensure that data is retained for the necessary </w:t>
      </w:r>
      <w:r w:rsidR="00DE124E" w:rsidRPr="007B2341">
        <w:rPr>
          <w:rFonts w:cs="Times New Roman"/>
        </w:rPr>
        <w:t xml:space="preserve">amount </w:t>
      </w:r>
      <w:r w:rsidR="006A267E" w:rsidRPr="007B2341">
        <w:rPr>
          <w:rFonts w:cs="Times New Roman"/>
        </w:rPr>
        <w:t>of time required</w:t>
      </w:r>
      <w:r w:rsidRPr="007B2341">
        <w:rPr>
          <w:rFonts w:cs="Times New Roman"/>
        </w:rPr>
        <w:t xml:space="preserve"> to meet legal, regulatory, and business requirements.</w:t>
      </w:r>
    </w:p>
    <w:p w14:paraId="005EB746" w14:textId="48A7B7F8" w:rsidR="009E50A1" w:rsidRPr="007B2341" w:rsidRDefault="001C0F3A" w:rsidP="00DE124E">
      <w:pPr>
        <w:pStyle w:val="ListParagraph"/>
        <w:numPr>
          <w:ilvl w:val="0"/>
          <w:numId w:val="4"/>
        </w:numPr>
        <w:rPr>
          <w:rFonts w:cs="Times New Roman"/>
        </w:rPr>
      </w:pPr>
      <w:r w:rsidRPr="007B2341">
        <w:rPr>
          <w:rFonts w:cs="Times New Roman"/>
        </w:rPr>
        <w:t>Minimize the risk</w:t>
      </w:r>
      <w:r w:rsidR="00433B97" w:rsidRPr="007B2341">
        <w:rPr>
          <w:rFonts w:cs="Times New Roman"/>
        </w:rPr>
        <w:t xml:space="preserve"> of </w:t>
      </w:r>
      <w:r w:rsidRPr="007B2341">
        <w:rPr>
          <w:rFonts w:cs="Times New Roman"/>
        </w:rPr>
        <w:t xml:space="preserve">unauthorized access, use, or </w:t>
      </w:r>
      <w:r w:rsidR="006A267E" w:rsidRPr="007B2341">
        <w:rPr>
          <w:rFonts w:cs="Times New Roman"/>
        </w:rPr>
        <w:t>exposure</w:t>
      </w:r>
      <w:r w:rsidRPr="007B2341">
        <w:rPr>
          <w:rFonts w:cs="Times New Roman"/>
        </w:rPr>
        <w:t xml:space="preserve"> of sensitive information.</w:t>
      </w:r>
    </w:p>
    <w:p w14:paraId="5F21D751" w14:textId="1B10D7CB" w:rsidR="009E50A1" w:rsidRPr="007B2341" w:rsidRDefault="00433B97" w:rsidP="00DE124E">
      <w:pPr>
        <w:pStyle w:val="ListParagraph"/>
        <w:numPr>
          <w:ilvl w:val="0"/>
          <w:numId w:val="4"/>
        </w:numPr>
        <w:rPr>
          <w:rFonts w:cs="Times New Roman"/>
        </w:rPr>
      </w:pPr>
      <w:r w:rsidRPr="007B2341">
        <w:rPr>
          <w:rFonts w:cs="Times New Roman"/>
        </w:rPr>
        <w:t>Encourage</w:t>
      </w:r>
      <w:r w:rsidR="001C0F3A" w:rsidRPr="007B2341">
        <w:rPr>
          <w:rFonts w:cs="Times New Roman"/>
        </w:rPr>
        <w:t xml:space="preserve"> efficient data management </w:t>
      </w:r>
      <w:r w:rsidR="006A267E" w:rsidRPr="007B2341">
        <w:rPr>
          <w:rFonts w:cs="Times New Roman"/>
        </w:rPr>
        <w:t>to</w:t>
      </w:r>
      <w:r w:rsidR="001C0F3A" w:rsidRPr="007B2341">
        <w:rPr>
          <w:rFonts w:cs="Times New Roman"/>
        </w:rPr>
        <w:t xml:space="preserve"> reduce storage costs.</w:t>
      </w:r>
    </w:p>
    <w:p w14:paraId="436010B3" w14:textId="382C8F88" w:rsidR="001C0F3A" w:rsidRPr="007B2341" w:rsidRDefault="001C0F3A" w:rsidP="00DE124E">
      <w:pPr>
        <w:pStyle w:val="ListParagraph"/>
        <w:numPr>
          <w:ilvl w:val="0"/>
          <w:numId w:val="4"/>
        </w:numPr>
        <w:rPr>
          <w:rFonts w:cs="Times New Roman"/>
        </w:rPr>
      </w:pPr>
      <w:r w:rsidRPr="007B2341">
        <w:rPr>
          <w:rFonts w:cs="Times New Roman"/>
        </w:rPr>
        <w:lastRenderedPageBreak/>
        <w:t xml:space="preserve">Define procedures for the secure </w:t>
      </w:r>
      <w:r w:rsidR="006A267E" w:rsidRPr="007B2341">
        <w:rPr>
          <w:rFonts w:cs="Times New Roman"/>
        </w:rPr>
        <w:t>erasure</w:t>
      </w:r>
      <w:r w:rsidRPr="007B2341">
        <w:rPr>
          <w:rFonts w:cs="Times New Roman"/>
        </w:rPr>
        <w:t xml:space="preserve"> of data when it reaches the end of its retention period.</w:t>
      </w:r>
    </w:p>
    <w:p w14:paraId="2943B053" w14:textId="77777777" w:rsidR="003D2B54" w:rsidRPr="007B2341" w:rsidRDefault="003D2B54" w:rsidP="007B2341">
      <w:pPr>
        <w:rPr>
          <w:rFonts w:cs="Times New Roman"/>
        </w:rPr>
      </w:pPr>
    </w:p>
    <w:p w14:paraId="1ED4DCE4" w14:textId="043EEC9D" w:rsidR="001C0F3A" w:rsidRPr="007B2341" w:rsidRDefault="009E50A1" w:rsidP="001C0F3A">
      <w:pPr>
        <w:rPr>
          <w:rFonts w:cs="Times New Roman"/>
          <w:b/>
          <w:bCs/>
        </w:rPr>
      </w:pPr>
      <w:r w:rsidRPr="007B2341">
        <w:rPr>
          <w:rFonts w:cs="Times New Roman"/>
          <w:b/>
          <w:bCs/>
        </w:rPr>
        <w:t>4</w:t>
      </w:r>
      <w:r w:rsidR="001C0F3A" w:rsidRPr="007B2341">
        <w:rPr>
          <w:rFonts w:cs="Times New Roman"/>
          <w:b/>
          <w:bCs/>
        </w:rPr>
        <w:t>. Scope</w:t>
      </w:r>
    </w:p>
    <w:p w14:paraId="672ADC96" w14:textId="3BF6DB17" w:rsidR="001C0F3A" w:rsidRPr="007B2341" w:rsidRDefault="001C0F3A" w:rsidP="001C0F3A">
      <w:pPr>
        <w:rPr>
          <w:rFonts w:cs="Times New Roman"/>
        </w:rPr>
      </w:pPr>
      <w:r w:rsidRPr="007B2341">
        <w:rPr>
          <w:rFonts w:cs="Times New Roman"/>
        </w:rPr>
        <w:t>This policy applies to all employees, contractors, and third parties who have a</w:t>
      </w:r>
      <w:r w:rsidR="00F41425" w:rsidRPr="007B2341">
        <w:rPr>
          <w:rFonts w:cs="Times New Roman"/>
        </w:rPr>
        <w:t>uthorization</w:t>
      </w:r>
      <w:r w:rsidRPr="007B2341">
        <w:rPr>
          <w:rFonts w:cs="Times New Roman"/>
        </w:rPr>
        <w:t xml:space="preserve"> to</w:t>
      </w:r>
      <w:r w:rsidR="00F41425" w:rsidRPr="007B2341">
        <w:rPr>
          <w:rFonts w:cs="Times New Roman"/>
        </w:rPr>
        <w:t xml:space="preserve"> view</w:t>
      </w:r>
      <w:r w:rsidRPr="007B2341">
        <w:rPr>
          <w:rFonts w:cs="Times New Roman"/>
        </w:rPr>
        <w:t xml:space="preserve">, use, or manage </w:t>
      </w:r>
      <w:r w:rsidR="00F554A6" w:rsidRPr="007B2341">
        <w:rPr>
          <w:rFonts w:cs="Times New Roman"/>
        </w:rPr>
        <w:t xml:space="preserve">any </w:t>
      </w:r>
      <w:r w:rsidRPr="007B2341">
        <w:rPr>
          <w:rFonts w:cs="Times New Roman"/>
        </w:rPr>
        <w:t xml:space="preserve">data owned or controlled by </w:t>
      </w:r>
      <w:r w:rsidR="00DE124E" w:rsidRPr="007B2341">
        <w:rPr>
          <w:rFonts w:cs="Times New Roman"/>
        </w:rPr>
        <w:t>the company</w:t>
      </w:r>
      <w:r w:rsidRPr="007B2341">
        <w:rPr>
          <w:rFonts w:cs="Times New Roman"/>
        </w:rPr>
        <w:t>.</w:t>
      </w:r>
    </w:p>
    <w:p w14:paraId="725D4473" w14:textId="77777777" w:rsidR="001C0F3A" w:rsidRPr="007B2341" w:rsidRDefault="001C0F3A" w:rsidP="001C0F3A">
      <w:pPr>
        <w:rPr>
          <w:rFonts w:cs="Times New Roman"/>
        </w:rPr>
      </w:pPr>
    </w:p>
    <w:p w14:paraId="531690AC" w14:textId="36E1C1BE" w:rsidR="001C0F3A" w:rsidRPr="007B2341" w:rsidRDefault="009E50A1" w:rsidP="001C0F3A">
      <w:pPr>
        <w:rPr>
          <w:rFonts w:cs="Times New Roman"/>
          <w:b/>
          <w:bCs/>
        </w:rPr>
      </w:pPr>
      <w:r w:rsidRPr="007B2341">
        <w:rPr>
          <w:rFonts w:cs="Times New Roman"/>
          <w:b/>
          <w:bCs/>
        </w:rPr>
        <w:t>5</w:t>
      </w:r>
      <w:r w:rsidR="001C0F3A" w:rsidRPr="007B2341">
        <w:rPr>
          <w:rFonts w:cs="Times New Roman"/>
          <w:b/>
          <w:bCs/>
        </w:rPr>
        <w:t>. Data Classification</w:t>
      </w:r>
    </w:p>
    <w:p w14:paraId="0B4F9627" w14:textId="55882BA0" w:rsidR="001C0F3A" w:rsidRPr="007B2341" w:rsidRDefault="001C0F3A" w:rsidP="001C0F3A">
      <w:pPr>
        <w:rPr>
          <w:rFonts w:cs="Times New Roman"/>
        </w:rPr>
      </w:pPr>
      <w:r w:rsidRPr="007B2341">
        <w:rPr>
          <w:rFonts w:cs="Times New Roman"/>
        </w:rPr>
        <w:t>Data is classified into the following categories for the purpose of retention and disposal:</w:t>
      </w:r>
    </w:p>
    <w:tbl>
      <w:tblPr>
        <w:tblStyle w:val="TableGrid"/>
        <w:tblW w:w="9355" w:type="dxa"/>
        <w:jc w:val="center"/>
        <w:tblCellMar>
          <w:left w:w="72" w:type="dxa"/>
          <w:right w:w="72" w:type="dxa"/>
        </w:tblCellMar>
        <w:tblLook w:val="04A0" w:firstRow="1" w:lastRow="0" w:firstColumn="1" w:lastColumn="0" w:noHBand="0" w:noVBand="1"/>
      </w:tblPr>
      <w:tblGrid>
        <w:gridCol w:w="2245"/>
        <w:gridCol w:w="7110"/>
      </w:tblGrid>
      <w:tr w:rsidR="000741FC" w:rsidRPr="007B2341" w14:paraId="62FFE49D" w14:textId="77777777" w:rsidTr="006A267E">
        <w:trPr>
          <w:jc w:val="center"/>
        </w:trPr>
        <w:tc>
          <w:tcPr>
            <w:tcW w:w="2245" w:type="dxa"/>
            <w:vAlign w:val="center"/>
          </w:tcPr>
          <w:p w14:paraId="352C74F2" w14:textId="77777777" w:rsidR="000741FC" w:rsidRPr="007B2341" w:rsidRDefault="000741FC" w:rsidP="007B0B18">
            <w:pPr>
              <w:jc w:val="center"/>
              <w:rPr>
                <w:rFonts w:cs="Times New Roman"/>
              </w:rPr>
            </w:pPr>
            <w:r w:rsidRPr="007B2341">
              <w:rPr>
                <w:rFonts w:cs="Times New Roman"/>
                <w:b/>
                <w:bCs/>
              </w:rPr>
              <w:t>Critical Data</w:t>
            </w:r>
          </w:p>
        </w:tc>
        <w:tc>
          <w:tcPr>
            <w:tcW w:w="7110" w:type="dxa"/>
            <w:vAlign w:val="center"/>
          </w:tcPr>
          <w:p w14:paraId="058F3C10" w14:textId="3C36FC19" w:rsidR="000741FC" w:rsidRPr="007B2341" w:rsidRDefault="000741FC" w:rsidP="000741FC">
            <w:pPr>
              <w:rPr>
                <w:rFonts w:cs="Times New Roman"/>
              </w:rPr>
            </w:pPr>
            <w:r w:rsidRPr="007B2341">
              <w:rPr>
                <w:rFonts w:cs="Times New Roman"/>
              </w:rPr>
              <w:t>Data that is essential for business operations, regulatory compliance, or legal purposes.</w:t>
            </w:r>
          </w:p>
        </w:tc>
      </w:tr>
      <w:tr w:rsidR="000741FC" w:rsidRPr="007B2341" w14:paraId="069DB439" w14:textId="77777777" w:rsidTr="006A267E">
        <w:trPr>
          <w:jc w:val="center"/>
        </w:trPr>
        <w:tc>
          <w:tcPr>
            <w:tcW w:w="2245" w:type="dxa"/>
            <w:vAlign w:val="center"/>
          </w:tcPr>
          <w:p w14:paraId="0DF23AB9" w14:textId="77777777" w:rsidR="000741FC" w:rsidRPr="007B2341" w:rsidRDefault="000741FC" w:rsidP="007B0B18">
            <w:pPr>
              <w:jc w:val="center"/>
              <w:rPr>
                <w:rFonts w:cs="Times New Roman"/>
              </w:rPr>
            </w:pPr>
            <w:r w:rsidRPr="007B2341">
              <w:rPr>
                <w:rFonts w:cs="Times New Roman"/>
                <w:b/>
                <w:bCs/>
              </w:rPr>
              <w:t>Sensitive Data</w:t>
            </w:r>
          </w:p>
        </w:tc>
        <w:tc>
          <w:tcPr>
            <w:tcW w:w="7110" w:type="dxa"/>
            <w:vAlign w:val="center"/>
          </w:tcPr>
          <w:p w14:paraId="20C37CF6" w14:textId="1030079F" w:rsidR="000741FC" w:rsidRPr="007B2341" w:rsidRDefault="000741FC" w:rsidP="007B0B18">
            <w:pPr>
              <w:rPr>
                <w:rFonts w:cs="Times New Roman"/>
              </w:rPr>
            </w:pPr>
            <w:r w:rsidRPr="007B2341">
              <w:rPr>
                <w:rFonts w:cs="Times New Roman"/>
              </w:rPr>
              <w:t>Data that contains confidential, proprietary, or personally identifiable information.</w:t>
            </w:r>
          </w:p>
        </w:tc>
      </w:tr>
      <w:tr w:rsidR="000741FC" w:rsidRPr="007B2341" w14:paraId="04D3CB29" w14:textId="77777777" w:rsidTr="006A267E">
        <w:trPr>
          <w:trHeight w:val="70"/>
          <w:jc w:val="center"/>
        </w:trPr>
        <w:tc>
          <w:tcPr>
            <w:tcW w:w="2245" w:type="dxa"/>
            <w:vAlign w:val="center"/>
          </w:tcPr>
          <w:p w14:paraId="6B17B3CA" w14:textId="77777777" w:rsidR="000741FC" w:rsidRPr="007B2341" w:rsidRDefault="000741FC" w:rsidP="007B0B18">
            <w:pPr>
              <w:jc w:val="center"/>
              <w:rPr>
                <w:rFonts w:cs="Times New Roman"/>
              </w:rPr>
            </w:pPr>
            <w:r w:rsidRPr="007B2341">
              <w:rPr>
                <w:rFonts w:cs="Times New Roman"/>
                <w:b/>
                <w:bCs/>
              </w:rPr>
              <w:t>Non-Essential Data</w:t>
            </w:r>
          </w:p>
        </w:tc>
        <w:tc>
          <w:tcPr>
            <w:tcW w:w="7110" w:type="dxa"/>
            <w:vAlign w:val="center"/>
          </w:tcPr>
          <w:p w14:paraId="0759385C" w14:textId="3EFF03CC" w:rsidR="000741FC" w:rsidRPr="007B2341" w:rsidRDefault="000741FC" w:rsidP="007B0B18">
            <w:pPr>
              <w:rPr>
                <w:rFonts w:cs="Times New Roman"/>
              </w:rPr>
            </w:pPr>
            <w:r w:rsidRPr="007B2341">
              <w:rPr>
                <w:rFonts w:cs="Times New Roman"/>
              </w:rPr>
              <w:t>Data that is not critical for business operations, regulatory compliance, or legal purposes.</w:t>
            </w:r>
          </w:p>
        </w:tc>
      </w:tr>
    </w:tbl>
    <w:p w14:paraId="0DE00EC3" w14:textId="77777777" w:rsidR="001C0F3A" w:rsidRPr="007B2341" w:rsidRDefault="001C0F3A" w:rsidP="001C0F3A">
      <w:pPr>
        <w:rPr>
          <w:rFonts w:cs="Times New Roman"/>
        </w:rPr>
      </w:pPr>
    </w:p>
    <w:p w14:paraId="74AAE2F0" w14:textId="5DAFBC3B" w:rsidR="001C0F3A" w:rsidRPr="007B2341" w:rsidRDefault="009E50A1" w:rsidP="001C0F3A">
      <w:pPr>
        <w:rPr>
          <w:rFonts w:cs="Times New Roman"/>
          <w:b/>
          <w:bCs/>
        </w:rPr>
      </w:pPr>
      <w:r w:rsidRPr="007B2341">
        <w:rPr>
          <w:rFonts w:cs="Times New Roman"/>
          <w:b/>
          <w:bCs/>
        </w:rPr>
        <w:t>6</w:t>
      </w:r>
      <w:r w:rsidR="001C0F3A" w:rsidRPr="007B2341">
        <w:rPr>
          <w:rFonts w:cs="Times New Roman"/>
          <w:b/>
          <w:bCs/>
        </w:rPr>
        <w:t>. Retention Periods</w:t>
      </w:r>
    </w:p>
    <w:p w14:paraId="20F40252" w14:textId="607DEBF3" w:rsidR="001C0F3A" w:rsidRPr="007B2341" w:rsidRDefault="00F41425" w:rsidP="001C0F3A">
      <w:pPr>
        <w:rPr>
          <w:rFonts w:cs="Times New Roman"/>
        </w:rPr>
      </w:pPr>
      <w:r w:rsidRPr="007B2341">
        <w:rPr>
          <w:rFonts w:cs="Times New Roman"/>
        </w:rPr>
        <w:t>Data may be kept longer than</w:t>
      </w:r>
      <w:r w:rsidR="00DE124E" w:rsidRPr="007B2341">
        <w:rPr>
          <w:rFonts w:cs="Times New Roman"/>
        </w:rPr>
        <w:t xml:space="preserve"> is</w:t>
      </w:r>
      <w:r w:rsidRPr="007B2341">
        <w:rPr>
          <w:rFonts w:cs="Times New Roman"/>
        </w:rPr>
        <w:t xml:space="preserve"> listed on a case-by-case basis, as reviewed by the </w:t>
      </w:r>
      <w:r w:rsidR="00DE124E" w:rsidRPr="007B2341">
        <w:rPr>
          <w:rFonts w:cs="Times New Roman"/>
        </w:rPr>
        <w:t xml:space="preserve">appointed </w:t>
      </w:r>
      <w:r w:rsidRPr="007B2341">
        <w:rPr>
          <w:rFonts w:cs="Times New Roman"/>
        </w:rPr>
        <w:t xml:space="preserve">Data Privacy Officer. </w:t>
      </w:r>
      <w:r w:rsidR="001C0F3A" w:rsidRPr="007B2341">
        <w:rPr>
          <w:rFonts w:cs="Times New Roman"/>
        </w:rPr>
        <w:t>The retention periods for each data category are as follows:</w:t>
      </w:r>
    </w:p>
    <w:tbl>
      <w:tblPr>
        <w:tblStyle w:val="TableGrid"/>
        <w:tblW w:w="9355" w:type="dxa"/>
        <w:jc w:val="center"/>
        <w:tblCellMar>
          <w:left w:w="72" w:type="dxa"/>
          <w:right w:w="72" w:type="dxa"/>
        </w:tblCellMar>
        <w:tblLook w:val="04A0" w:firstRow="1" w:lastRow="0" w:firstColumn="1" w:lastColumn="0" w:noHBand="0" w:noVBand="1"/>
      </w:tblPr>
      <w:tblGrid>
        <w:gridCol w:w="2245"/>
        <w:gridCol w:w="7110"/>
      </w:tblGrid>
      <w:tr w:rsidR="00176BD7" w:rsidRPr="007B2341" w14:paraId="4CE9AC3F" w14:textId="77777777" w:rsidTr="006A267E">
        <w:trPr>
          <w:jc w:val="center"/>
        </w:trPr>
        <w:tc>
          <w:tcPr>
            <w:tcW w:w="2245" w:type="dxa"/>
            <w:vAlign w:val="center"/>
          </w:tcPr>
          <w:p w14:paraId="4AB8029A" w14:textId="67999F76" w:rsidR="00176BD7" w:rsidRPr="007B2341" w:rsidRDefault="00176BD7" w:rsidP="00A77EA5">
            <w:pPr>
              <w:jc w:val="center"/>
              <w:rPr>
                <w:rFonts w:cs="Times New Roman"/>
              </w:rPr>
            </w:pPr>
            <w:r w:rsidRPr="007B2341">
              <w:rPr>
                <w:rFonts w:cs="Times New Roman"/>
                <w:b/>
                <w:bCs/>
              </w:rPr>
              <w:t>Critical Data</w:t>
            </w:r>
          </w:p>
        </w:tc>
        <w:tc>
          <w:tcPr>
            <w:tcW w:w="7110" w:type="dxa"/>
            <w:vAlign w:val="center"/>
          </w:tcPr>
          <w:p w14:paraId="10489E32" w14:textId="57F08A35" w:rsidR="00176BD7" w:rsidRPr="007B2341" w:rsidRDefault="00176BD7" w:rsidP="00A77EA5">
            <w:pPr>
              <w:jc w:val="center"/>
              <w:rPr>
                <w:rFonts w:cs="Times New Roman"/>
              </w:rPr>
            </w:pPr>
            <w:r w:rsidRPr="007B2341">
              <w:rPr>
                <w:rFonts w:cs="Times New Roman"/>
              </w:rPr>
              <w:t xml:space="preserve">Retained indefinitely or as </w:t>
            </w:r>
            <w:r w:rsidR="003D2B54" w:rsidRPr="007B2341">
              <w:rPr>
                <w:rFonts w:cs="Times New Roman"/>
              </w:rPr>
              <w:t xml:space="preserve">long as </w:t>
            </w:r>
            <w:r w:rsidRPr="007B2341">
              <w:rPr>
                <w:rFonts w:cs="Times New Roman"/>
              </w:rPr>
              <w:t>required by applicable laws and regulations.</w:t>
            </w:r>
          </w:p>
        </w:tc>
      </w:tr>
      <w:tr w:rsidR="00176BD7" w:rsidRPr="007B2341" w14:paraId="0C5B7991" w14:textId="77777777" w:rsidTr="006A267E">
        <w:trPr>
          <w:jc w:val="center"/>
        </w:trPr>
        <w:tc>
          <w:tcPr>
            <w:tcW w:w="2245" w:type="dxa"/>
            <w:vAlign w:val="center"/>
          </w:tcPr>
          <w:p w14:paraId="3B81BCB0" w14:textId="658E256E" w:rsidR="00176BD7" w:rsidRPr="007B2341" w:rsidRDefault="00176BD7" w:rsidP="00A77EA5">
            <w:pPr>
              <w:jc w:val="center"/>
              <w:rPr>
                <w:rFonts w:cs="Times New Roman"/>
              </w:rPr>
            </w:pPr>
            <w:r w:rsidRPr="007B2341">
              <w:rPr>
                <w:rFonts w:cs="Times New Roman"/>
                <w:b/>
                <w:bCs/>
              </w:rPr>
              <w:t>Sensitive Data</w:t>
            </w:r>
          </w:p>
        </w:tc>
        <w:tc>
          <w:tcPr>
            <w:tcW w:w="7110" w:type="dxa"/>
            <w:vAlign w:val="center"/>
          </w:tcPr>
          <w:p w14:paraId="7B307092" w14:textId="72F31755" w:rsidR="00176BD7" w:rsidRPr="007B2341" w:rsidRDefault="00176BD7" w:rsidP="00A77EA5">
            <w:pPr>
              <w:jc w:val="center"/>
              <w:rPr>
                <w:rFonts w:cs="Times New Roman"/>
              </w:rPr>
            </w:pPr>
            <w:r w:rsidRPr="007B2341">
              <w:rPr>
                <w:rFonts w:cs="Times New Roman"/>
              </w:rPr>
              <w:t xml:space="preserve">Retained for a minimum period of </w:t>
            </w:r>
            <w:r w:rsidR="00710CCC" w:rsidRPr="007B2341">
              <w:rPr>
                <w:rFonts w:cs="Times New Roman"/>
              </w:rPr>
              <w:t>4 years,</w:t>
            </w:r>
            <w:r w:rsidRPr="007B2341">
              <w:rPr>
                <w:rFonts w:cs="Times New Roman"/>
              </w:rPr>
              <w:t xml:space="preserve"> after which it m</w:t>
            </w:r>
            <w:r w:rsidR="00DE124E" w:rsidRPr="007B2341">
              <w:rPr>
                <w:rFonts w:cs="Times New Roman"/>
              </w:rPr>
              <w:t>ay</w:t>
            </w:r>
            <w:r w:rsidRPr="007B2341">
              <w:rPr>
                <w:rFonts w:cs="Times New Roman"/>
              </w:rPr>
              <w:t xml:space="preserve"> be securely disposed of.</w:t>
            </w:r>
          </w:p>
        </w:tc>
      </w:tr>
      <w:tr w:rsidR="00176BD7" w:rsidRPr="007B2341" w14:paraId="179CEBA1" w14:textId="77777777" w:rsidTr="006A267E">
        <w:trPr>
          <w:trHeight w:val="233"/>
          <w:jc w:val="center"/>
        </w:trPr>
        <w:tc>
          <w:tcPr>
            <w:tcW w:w="2245" w:type="dxa"/>
            <w:vAlign w:val="center"/>
          </w:tcPr>
          <w:p w14:paraId="2C537224" w14:textId="46000AB5" w:rsidR="00176BD7" w:rsidRPr="007B2341" w:rsidRDefault="00176BD7" w:rsidP="00A77EA5">
            <w:pPr>
              <w:jc w:val="center"/>
              <w:rPr>
                <w:rFonts w:cs="Times New Roman"/>
              </w:rPr>
            </w:pPr>
            <w:r w:rsidRPr="007B2341">
              <w:rPr>
                <w:rFonts w:cs="Times New Roman"/>
                <w:b/>
                <w:bCs/>
              </w:rPr>
              <w:t>Non-Essential Data</w:t>
            </w:r>
          </w:p>
        </w:tc>
        <w:tc>
          <w:tcPr>
            <w:tcW w:w="7110" w:type="dxa"/>
            <w:vAlign w:val="center"/>
          </w:tcPr>
          <w:p w14:paraId="184E86FA" w14:textId="01FC71B0" w:rsidR="00176BD7" w:rsidRPr="007B2341" w:rsidRDefault="00176BD7" w:rsidP="00A77EA5">
            <w:pPr>
              <w:jc w:val="center"/>
              <w:rPr>
                <w:rFonts w:cs="Times New Roman"/>
              </w:rPr>
            </w:pPr>
            <w:r w:rsidRPr="007B2341">
              <w:rPr>
                <w:rFonts w:cs="Times New Roman"/>
              </w:rPr>
              <w:t>Retained for a minimum period of 6 months, after which it may be securely disposed of.</w:t>
            </w:r>
          </w:p>
        </w:tc>
      </w:tr>
    </w:tbl>
    <w:p w14:paraId="171B6313" w14:textId="77777777" w:rsidR="001C0F3A" w:rsidRPr="007B2341" w:rsidRDefault="001C0F3A" w:rsidP="001C0F3A">
      <w:pPr>
        <w:rPr>
          <w:rFonts w:cs="Times New Roman"/>
        </w:rPr>
      </w:pPr>
    </w:p>
    <w:p w14:paraId="771E3D8C" w14:textId="7F67AD88" w:rsidR="001C0F3A" w:rsidRPr="007B2341" w:rsidRDefault="009E50A1" w:rsidP="001C0F3A">
      <w:pPr>
        <w:rPr>
          <w:rFonts w:cs="Times New Roman"/>
          <w:b/>
          <w:bCs/>
        </w:rPr>
      </w:pPr>
      <w:r w:rsidRPr="007B2341">
        <w:rPr>
          <w:rFonts w:cs="Times New Roman"/>
          <w:b/>
          <w:bCs/>
        </w:rPr>
        <w:t>7.</w:t>
      </w:r>
      <w:r w:rsidR="001C0F3A" w:rsidRPr="007B2341">
        <w:rPr>
          <w:rFonts w:cs="Times New Roman"/>
          <w:b/>
          <w:bCs/>
        </w:rPr>
        <w:t xml:space="preserve"> Data Disposal</w:t>
      </w:r>
    </w:p>
    <w:p w14:paraId="5C766252" w14:textId="1E66E29D" w:rsidR="001C0F3A" w:rsidRPr="007B2341" w:rsidRDefault="001C0F3A" w:rsidP="001C0F3A">
      <w:pPr>
        <w:rPr>
          <w:rFonts w:cs="Times New Roman"/>
        </w:rPr>
      </w:pPr>
      <w:r w:rsidRPr="007B2341">
        <w:rPr>
          <w:rFonts w:cs="Times New Roman"/>
        </w:rPr>
        <w:t xml:space="preserve">Data disposal must be carried out in a secure and </w:t>
      </w:r>
      <w:r w:rsidR="00433B97" w:rsidRPr="007B2341">
        <w:rPr>
          <w:rFonts w:cs="Times New Roman"/>
        </w:rPr>
        <w:t>timely</w:t>
      </w:r>
      <w:r w:rsidRPr="007B2341">
        <w:rPr>
          <w:rFonts w:cs="Times New Roman"/>
        </w:rPr>
        <w:t xml:space="preserve"> manner to prevent unauthorized access or disclosure. The following methods are approved for data disposal:</w:t>
      </w:r>
    </w:p>
    <w:p w14:paraId="4C35B61E" w14:textId="54DE9680" w:rsidR="001C0F3A" w:rsidRPr="007B2341" w:rsidRDefault="001C0F3A" w:rsidP="00433B97">
      <w:pPr>
        <w:pStyle w:val="ListParagraph"/>
        <w:numPr>
          <w:ilvl w:val="0"/>
          <w:numId w:val="5"/>
        </w:numPr>
        <w:rPr>
          <w:rFonts w:cs="Times New Roman"/>
        </w:rPr>
      </w:pPr>
      <w:r w:rsidRPr="007B2341">
        <w:rPr>
          <w:rFonts w:cs="Times New Roman"/>
          <w:b/>
          <w:bCs/>
        </w:rPr>
        <w:t>Physical Media:</w:t>
      </w:r>
      <w:r w:rsidRPr="007B2341">
        <w:rPr>
          <w:rFonts w:cs="Times New Roman"/>
        </w:rPr>
        <w:t xml:space="preserve"> </w:t>
      </w:r>
      <w:r w:rsidR="009E50A1" w:rsidRPr="007B2341">
        <w:rPr>
          <w:rFonts w:cs="Times New Roman"/>
        </w:rPr>
        <w:t>Must be</w:t>
      </w:r>
      <w:r w:rsidR="00F554A6" w:rsidRPr="007B2341">
        <w:rPr>
          <w:rFonts w:cs="Times New Roman"/>
        </w:rPr>
        <w:t xml:space="preserve"> shredded, pulped, or incinerated in accordance with</w:t>
      </w:r>
      <w:r w:rsidR="009E50A1" w:rsidRPr="007B2341">
        <w:rPr>
          <w:rFonts w:cs="Times New Roman"/>
        </w:rPr>
        <w:t xml:space="preserve"> state and federal laws.</w:t>
      </w:r>
    </w:p>
    <w:p w14:paraId="5CD58BC4" w14:textId="20AF22CA" w:rsidR="00DE124E" w:rsidRDefault="001C0F3A" w:rsidP="001C0F3A">
      <w:pPr>
        <w:pStyle w:val="ListParagraph"/>
        <w:numPr>
          <w:ilvl w:val="0"/>
          <w:numId w:val="5"/>
        </w:numPr>
        <w:rPr>
          <w:rFonts w:cs="Times New Roman"/>
        </w:rPr>
      </w:pPr>
      <w:r w:rsidRPr="007B2341">
        <w:rPr>
          <w:rFonts w:cs="Times New Roman"/>
          <w:b/>
          <w:bCs/>
        </w:rPr>
        <w:lastRenderedPageBreak/>
        <w:t>Electronic Media:</w:t>
      </w:r>
      <w:r w:rsidRPr="007B2341">
        <w:rPr>
          <w:rFonts w:cs="Times New Roman"/>
        </w:rPr>
        <w:t xml:space="preserve"> Secure erasure o</w:t>
      </w:r>
      <w:r w:rsidR="003D2B54" w:rsidRPr="007B2341">
        <w:rPr>
          <w:rFonts w:cs="Times New Roman"/>
        </w:rPr>
        <w:t>f data using approved software tools and techniques</w:t>
      </w:r>
      <w:r w:rsidRPr="007B2341">
        <w:rPr>
          <w:rFonts w:cs="Times New Roman"/>
        </w:rPr>
        <w:t>.</w:t>
      </w:r>
      <w:r w:rsidR="003D2B54" w:rsidRPr="007B2341">
        <w:rPr>
          <w:rFonts w:cs="Times New Roman"/>
        </w:rPr>
        <w:t xml:space="preserve"> Storage mediums must be properly degaussed </w:t>
      </w:r>
      <w:r w:rsidR="009D3556" w:rsidRPr="007B2341">
        <w:rPr>
          <w:rFonts w:cs="Times New Roman"/>
        </w:rPr>
        <w:t>or</w:t>
      </w:r>
      <w:r w:rsidR="003D2B54" w:rsidRPr="007B2341">
        <w:rPr>
          <w:rFonts w:cs="Times New Roman"/>
        </w:rPr>
        <w:t xml:space="preserve"> pulverized upon decommission.</w:t>
      </w:r>
    </w:p>
    <w:p w14:paraId="00A53BA8" w14:textId="77777777" w:rsidR="007B2341" w:rsidRPr="007B2341" w:rsidRDefault="007B2341" w:rsidP="007B2341">
      <w:pPr>
        <w:rPr>
          <w:rFonts w:cs="Times New Roman"/>
        </w:rPr>
      </w:pPr>
    </w:p>
    <w:p w14:paraId="2AFDF069" w14:textId="122EB463" w:rsidR="001C0F3A" w:rsidRPr="007B2341" w:rsidRDefault="009E50A1" w:rsidP="001C0F3A">
      <w:pPr>
        <w:rPr>
          <w:rFonts w:cs="Times New Roman"/>
          <w:b/>
          <w:bCs/>
        </w:rPr>
      </w:pPr>
      <w:r w:rsidRPr="007B2341">
        <w:rPr>
          <w:rFonts w:cs="Times New Roman"/>
          <w:b/>
          <w:bCs/>
        </w:rPr>
        <w:t>8</w:t>
      </w:r>
      <w:r w:rsidR="001C0F3A" w:rsidRPr="007B2341">
        <w:rPr>
          <w:rFonts w:cs="Times New Roman"/>
          <w:b/>
          <w:bCs/>
        </w:rPr>
        <w:t>. Data Destruction Procedures</w:t>
      </w:r>
    </w:p>
    <w:p w14:paraId="7905C29C" w14:textId="70E54F77" w:rsidR="001C0F3A" w:rsidRPr="007B2341" w:rsidRDefault="001C0F3A" w:rsidP="00DE124E">
      <w:pPr>
        <w:pStyle w:val="ListParagraph"/>
        <w:numPr>
          <w:ilvl w:val="0"/>
          <w:numId w:val="3"/>
        </w:numPr>
        <w:rPr>
          <w:rFonts w:cs="Times New Roman"/>
        </w:rPr>
      </w:pPr>
      <w:r w:rsidRPr="007B2341">
        <w:rPr>
          <w:rFonts w:cs="Times New Roman"/>
          <w:b/>
          <w:bCs/>
        </w:rPr>
        <w:t>Identification:</w:t>
      </w:r>
      <w:r w:rsidRPr="007B2341">
        <w:rPr>
          <w:rFonts w:cs="Times New Roman"/>
        </w:rPr>
        <w:t xml:space="preserve"> Data Custodians are responsible for identifying data that has reached the end of its retention period.</w:t>
      </w:r>
    </w:p>
    <w:p w14:paraId="624A8AC6" w14:textId="7033532C" w:rsidR="001C0F3A" w:rsidRPr="007B2341" w:rsidRDefault="001C0F3A" w:rsidP="00DE124E">
      <w:pPr>
        <w:pStyle w:val="ListParagraph"/>
        <w:numPr>
          <w:ilvl w:val="0"/>
          <w:numId w:val="3"/>
        </w:numPr>
        <w:rPr>
          <w:rFonts w:cs="Times New Roman"/>
        </w:rPr>
      </w:pPr>
      <w:r w:rsidRPr="007B2341">
        <w:rPr>
          <w:rFonts w:cs="Times New Roman"/>
          <w:b/>
          <w:bCs/>
        </w:rPr>
        <w:t>Approval:</w:t>
      </w:r>
      <w:r w:rsidRPr="007B2341">
        <w:rPr>
          <w:rFonts w:cs="Times New Roman"/>
        </w:rPr>
        <w:t xml:space="preserve"> Data destruction requests must be approved by the Data Privacy Officer.</w:t>
      </w:r>
    </w:p>
    <w:p w14:paraId="7715DBF4" w14:textId="65226BF9" w:rsidR="001C0F3A" w:rsidRPr="007B2341" w:rsidRDefault="001C0F3A" w:rsidP="00DE124E">
      <w:pPr>
        <w:pStyle w:val="ListParagraph"/>
        <w:numPr>
          <w:ilvl w:val="0"/>
          <w:numId w:val="3"/>
        </w:numPr>
        <w:rPr>
          <w:rFonts w:cs="Times New Roman"/>
        </w:rPr>
      </w:pPr>
      <w:r w:rsidRPr="007B2341">
        <w:rPr>
          <w:rFonts w:cs="Times New Roman"/>
          <w:b/>
          <w:bCs/>
        </w:rPr>
        <w:t>Secure Disposal:</w:t>
      </w:r>
      <w:r w:rsidRPr="007B2341">
        <w:rPr>
          <w:rFonts w:cs="Times New Roman"/>
        </w:rPr>
        <w:t xml:space="preserve"> Data must be destroyed using the approved methods mentioned in Section </w:t>
      </w:r>
      <w:r w:rsidR="00DE124E" w:rsidRPr="007B2341">
        <w:rPr>
          <w:rFonts w:cs="Times New Roman"/>
        </w:rPr>
        <w:t>7</w:t>
      </w:r>
      <w:r w:rsidRPr="007B2341">
        <w:rPr>
          <w:rFonts w:cs="Times New Roman"/>
        </w:rPr>
        <w:t>.</w:t>
      </w:r>
    </w:p>
    <w:p w14:paraId="1CA42730" w14:textId="3CDB55FC" w:rsidR="001C0F3A" w:rsidRPr="007B2341" w:rsidRDefault="001C0F3A" w:rsidP="00DE124E">
      <w:pPr>
        <w:pStyle w:val="ListParagraph"/>
        <w:numPr>
          <w:ilvl w:val="0"/>
          <w:numId w:val="3"/>
        </w:numPr>
        <w:rPr>
          <w:rFonts w:cs="Times New Roman"/>
        </w:rPr>
      </w:pPr>
      <w:r w:rsidRPr="007B2341">
        <w:rPr>
          <w:rFonts w:cs="Times New Roman"/>
          <w:b/>
          <w:bCs/>
        </w:rPr>
        <w:t>Documentation:</w:t>
      </w:r>
      <w:r w:rsidRPr="007B2341">
        <w:rPr>
          <w:rFonts w:cs="Times New Roman"/>
        </w:rPr>
        <w:t xml:space="preserve"> All data destruction activities must be documented, including the type of data destroyed,</w:t>
      </w:r>
      <w:r w:rsidR="00433B97" w:rsidRPr="007B2341">
        <w:rPr>
          <w:rFonts w:cs="Times New Roman"/>
        </w:rPr>
        <w:t xml:space="preserve"> method and</w:t>
      </w:r>
      <w:r w:rsidRPr="007B2341">
        <w:rPr>
          <w:rFonts w:cs="Times New Roman"/>
        </w:rPr>
        <w:t xml:space="preserve"> date of destruction, and the individuals responsible for the d</w:t>
      </w:r>
      <w:r w:rsidR="00433B97" w:rsidRPr="007B2341">
        <w:rPr>
          <w:rFonts w:cs="Times New Roman"/>
        </w:rPr>
        <w:t>isposal of the data</w:t>
      </w:r>
      <w:r w:rsidRPr="007B2341">
        <w:rPr>
          <w:rFonts w:cs="Times New Roman"/>
        </w:rPr>
        <w:t>.</w:t>
      </w:r>
    </w:p>
    <w:p w14:paraId="6080268A" w14:textId="77777777" w:rsidR="001C0F3A" w:rsidRPr="007B2341" w:rsidRDefault="001C0F3A" w:rsidP="001C0F3A">
      <w:pPr>
        <w:rPr>
          <w:rFonts w:cs="Times New Roman"/>
        </w:rPr>
      </w:pPr>
    </w:p>
    <w:p w14:paraId="376820B5" w14:textId="172683AF" w:rsidR="00176BD7" w:rsidRPr="007B2341" w:rsidRDefault="009E50A1" w:rsidP="00176BD7">
      <w:pPr>
        <w:rPr>
          <w:rFonts w:cs="Times New Roman"/>
          <w:b/>
          <w:bCs/>
        </w:rPr>
      </w:pPr>
      <w:r w:rsidRPr="007B2341">
        <w:rPr>
          <w:rFonts w:cs="Times New Roman"/>
          <w:b/>
          <w:bCs/>
        </w:rPr>
        <w:t>9</w:t>
      </w:r>
      <w:r w:rsidR="00176BD7" w:rsidRPr="007B2341">
        <w:rPr>
          <w:rFonts w:cs="Times New Roman"/>
          <w:b/>
          <w:bCs/>
        </w:rPr>
        <w:t>. Litigation Exception Process</w:t>
      </w:r>
    </w:p>
    <w:p w14:paraId="258D8A16" w14:textId="07F1A963" w:rsidR="00176BD7" w:rsidRPr="007B2341" w:rsidRDefault="00176BD7" w:rsidP="00176BD7">
      <w:pPr>
        <w:rPr>
          <w:rFonts w:cs="Times New Roman"/>
        </w:rPr>
      </w:pPr>
      <w:r w:rsidRPr="007B2341">
        <w:rPr>
          <w:rFonts w:cs="Times New Roman"/>
        </w:rPr>
        <w:t>In the event of pending or anticipated litigation, data that may be relevant to the legal matter must be preserved and not subject</w:t>
      </w:r>
      <w:r w:rsidR="00DE124E" w:rsidRPr="007B2341">
        <w:rPr>
          <w:rFonts w:cs="Times New Roman"/>
        </w:rPr>
        <w:t>ed</w:t>
      </w:r>
      <w:r w:rsidRPr="007B2341">
        <w:rPr>
          <w:rFonts w:cs="Times New Roman"/>
        </w:rPr>
        <w:t xml:space="preserve"> to routine data destruction. The process for litigation exception is as follows:</w:t>
      </w:r>
    </w:p>
    <w:p w14:paraId="4321AF5E" w14:textId="1AAD77B3" w:rsidR="00176BD7" w:rsidRPr="007B2341" w:rsidRDefault="00176BD7" w:rsidP="00433B97">
      <w:pPr>
        <w:pStyle w:val="ListParagraph"/>
        <w:numPr>
          <w:ilvl w:val="0"/>
          <w:numId w:val="6"/>
        </w:numPr>
        <w:rPr>
          <w:rFonts w:cs="Times New Roman"/>
        </w:rPr>
      </w:pPr>
      <w:r w:rsidRPr="007B2341">
        <w:rPr>
          <w:rFonts w:cs="Times New Roman"/>
          <w:b/>
          <w:bCs/>
        </w:rPr>
        <w:t>Identification:</w:t>
      </w:r>
      <w:r w:rsidRPr="007B2341">
        <w:rPr>
          <w:rFonts w:cs="Times New Roman"/>
        </w:rPr>
        <w:t xml:space="preserve"> Upon notification of pending or anticipated litigation, the Legal Department, in consultation with the Data Custodian, will identify and specify the data to be preserved.</w:t>
      </w:r>
    </w:p>
    <w:p w14:paraId="160FCD1F" w14:textId="26F54BE0" w:rsidR="00176BD7" w:rsidRPr="007B2341" w:rsidRDefault="00176BD7" w:rsidP="00433B97">
      <w:pPr>
        <w:pStyle w:val="ListParagraph"/>
        <w:numPr>
          <w:ilvl w:val="0"/>
          <w:numId w:val="6"/>
        </w:numPr>
        <w:rPr>
          <w:rFonts w:cs="Times New Roman"/>
        </w:rPr>
      </w:pPr>
      <w:r w:rsidRPr="007B2341">
        <w:rPr>
          <w:rFonts w:cs="Times New Roman"/>
          <w:b/>
          <w:bCs/>
        </w:rPr>
        <w:t>Preservation:</w:t>
      </w:r>
      <w:r w:rsidRPr="007B2341">
        <w:rPr>
          <w:rFonts w:cs="Times New Roman"/>
        </w:rPr>
        <w:t xml:space="preserve"> The identified data must be preserved in its current state and not altered or destroyed until further notice from the Legal Department.</w:t>
      </w:r>
    </w:p>
    <w:p w14:paraId="4959A75C" w14:textId="37CFA583" w:rsidR="007B2341" w:rsidRDefault="00176BD7" w:rsidP="00433B97">
      <w:pPr>
        <w:pStyle w:val="ListParagraph"/>
        <w:numPr>
          <w:ilvl w:val="0"/>
          <w:numId w:val="6"/>
        </w:numPr>
        <w:rPr>
          <w:rFonts w:cs="Times New Roman"/>
        </w:rPr>
      </w:pPr>
      <w:r w:rsidRPr="007B2341">
        <w:rPr>
          <w:rFonts w:cs="Times New Roman"/>
          <w:b/>
          <w:bCs/>
        </w:rPr>
        <w:t>Documentation:</w:t>
      </w:r>
      <w:r w:rsidRPr="007B2341">
        <w:rPr>
          <w:rFonts w:cs="Times New Roman"/>
        </w:rPr>
        <w:t xml:space="preserve"> All preservation activities must be documented, including the reason for preservation, the data involved, and the individuals responsible for preservation.</w:t>
      </w:r>
    </w:p>
    <w:p w14:paraId="340D5BDF" w14:textId="77777777" w:rsidR="007B2341" w:rsidRDefault="007B2341">
      <w:pPr>
        <w:spacing w:after="160" w:line="259" w:lineRule="auto"/>
        <w:rPr>
          <w:rFonts w:cs="Times New Roman"/>
        </w:rPr>
      </w:pPr>
      <w:r>
        <w:rPr>
          <w:rFonts w:cs="Times New Roman"/>
        </w:rPr>
        <w:br w:type="page"/>
      </w:r>
    </w:p>
    <w:p w14:paraId="2EC7B895" w14:textId="4FC7D78A" w:rsidR="001C0F3A" w:rsidRPr="007B2341" w:rsidRDefault="009E50A1" w:rsidP="001C0F3A">
      <w:pPr>
        <w:rPr>
          <w:rFonts w:cs="Times New Roman"/>
          <w:b/>
          <w:bCs/>
        </w:rPr>
      </w:pPr>
      <w:r w:rsidRPr="007B2341">
        <w:rPr>
          <w:rFonts w:cs="Times New Roman"/>
          <w:b/>
          <w:bCs/>
        </w:rPr>
        <w:lastRenderedPageBreak/>
        <w:t>10</w:t>
      </w:r>
      <w:r w:rsidR="001C0F3A" w:rsidRPr="007B2341">
        <w:rPr>
          <w:rFonts w:cs="Times New Roman"/>
          <w:b/>
          <w:bCs/>
        </w:rPr>
        <w:t>. Legal and Regulatory Compliance</w:t>
      </w:r>
    </w:p>
    <w:p w14:paraId="3F00F868" w14:textId="2535EE86" w:rsidR="001C0F3A" w:rsidRPr="007B2341" w:rsidRDefault="00DE124E" w:rsidP="001C0F3A">
      <w:pPr>
        <w:rPr>
          <w:rFonts w:cs="Times New Roman"/>
        </w:rPr>
      </w:pPr>
      <w:r w:rsidRPr="007B2341">
        <w:rPr>
          <w:rFonts w:cs="Times New Roman"/>
        </w:rPr>
        <w:t>The Company</w:t>
      </w:r>
      <w:r w:rsidR="001C0F3A" w:rsidRPr="007B2341">
        <w:rPr>
          <w:rFonts w:cs="Times New Roman"/>
        </w:rPr>
        <w:t xml:space="preserve"> is committed to complying with all applicable data protection laws and regulations</w:t>
      </w:r>
      <w:r w:rsidRPr="007B2341">
        <w:rPr>
          <w:rFonts w:cs="Times New Roman"/>
        </w:rPr>
        <w:t xml:space="preserve"> at the State and Federal levels</w:t>
      </w:r>
      <w:r w:rsidR="001C0F3A" w:rsidRPr="007B2341">
        <w:rPr>
          <w:rFonts w:cs="Times New Roman"/>
        </w:rPr>
        <w:t>. The Company will retain data as</w:t>
      </w:r>
      <w:r w:rsidR="003D2B54" w:rsidRPr="007B2341">
        <w:rPr>
          <w:rFonts w:cs="Times New Roman"/>
        </w:rPr>
        <w:t xml:space="preserve"> long as is</w:t>
      </w:r>
      <w:r w:rsidR="001C0F3A" w:rsidRPr="007B2341">
        <w:rPr>
          <w:rFonts w:cs="Times New Roman"/>
        </w:rPr>
        <w:t xml:space="preserve"> required by law and</w:t>
      </w:r>
      <w:r w:rsidRPr="007B2341">
        <w:rPr>
          <w:rFonts w:cs="Times New Roman"/>
        </w:rPr>
        <w:t xml:space="preserve"> will</w:t>
      </w:r>
      <w:r w:rsidR="001C0F3A" w:rsidRPr="007B2341">
        <w:rPr>
          <w:rFonts w:cs="Times New Roman"/>
        </w:rPr>
        <w:t xml:space="preserve"> cooperate with regulatory</w:t>
      </w:r>
      <w:r w:rsidR="00B472C9" w:rsidRPr="007B2341">
        <w:rPr>
          <w:rFonts w:cs="Times New Roman"/>
        </w:rPr>
        <w:t xml:space="preserve"> and/or legal</w:t>
      </w:r>
      <w:r w:rsidR="001C0F3A" w:rsidRPr="007B2341">
        <w:rPr>
          <w:rFonts w:cs="Times New Roman"/>
        </w:rPr>
        <w:t xml:space="preserve"> authorities when necessary.</w:t>
      </w:r>
    </w:p>
    <w:p w14:paraId="371C0AFA" w14:textId="77777777" w:rsidR="003D2B54" w:rsidRPr="007B2341" w:rsidRDefault="003D2B54" w:rsidP="001C0F3A">
      <w:pPr>
        <w:rPr>
          <w:rFonts w:cs="Times New Roman"/>
        </w:rPr>
      </w:pPr>
    </w:p>
    <w:p w14:paraId="144F64BF" w14:textId="07073C64" w:rsidR="001C0F3A" w:rsidRPr="007B2341" w:rsidRDefault="00176BD7" w:rsidP="001C0F3A">
      <w:pPr>
        <w:rPr>
          <w:rFonts w:cs="Times New Roman"/>
          <w:b/>
          <w:bCs/>
        </w:rPr>
      </w:pPr>
      <w:r w:rsidRPr="007B2341">
        <w:rPr>
          <w:rFonts w:cs="Times New Roman"/>
          <w:b/>
          <w:bCs/>
        </w:rPr>
        <w:t>1</w:t>
      </w:r>
      <w:r w:rsidR="009E50A1" w:rsidRPr="007B2341">
        <w:rPr>
          <w:rFonts w:cs="Times New Roman"/>
          <w:b/>
          <w:bCs/>
        </w:rPr>
        <w:t>1</w:t>
      </w:r>
      <w:r w:rsidR="001C0F3A" w:rsidRPr="007B2341">
        <w:rPr>
          <w:rFonts w:cs="Times New Roman"/>
          <w:b/>
          <w:bCs/>
        </w:rPr>
        <w:t>. Data Access and Retrieval</w:t>
      </w:r>
    </w:p>
    <w:p w14:paraId="44D8B061" w14:textId="77777777" w:rsidR="001C0F3A" w:rsidRPr="007B2341" w:rsidRDefault="001C0F3A" w:rsidP="001C0F3A">
      <w:pPr>
        <w:rPr>
          <w:rFonts w:cs="Times New Roman"/>
        </w:rPr>
      </w:pPr>
      <w:r w:rsidRPr="007B2341">
        <w:rPr>
          <w:rFonts w:cs="Times New Roman"/>
        </w:rPr>
        <w:t>During the data retention period, authorized personnel may access and retrieve data as needed for business purposes. All requests for data retrieval must be documented and approved by the Data Custodian or Data Privacy Officer.</w:t>
      </w:r>
    </w:p>
    <w:p w14:paraId="47F34D88" w14:textId="77777777" w:rsidR="001C0F3A" w:rsidRPr="007B2341" w:rsidRDefault="001C0F3A" w:rsidP="001C0F3A">
      <w:pPr>
        <w:rPr>
          <w:rFonts w:cs="Times New Roman"/>
        </w:rPr>
      </w:pPr>
    </w:p>
    <w:p w14:paraId="77C7EFAA" w14:textId="3159520F" w:rsidR="001C0F3A" w:rsidRPr="007B2341" w:rsidRDefault="00176BD7" w:rsidP="001C0F3A">
      <w:pPr>
        <w:rPr>
          <w:rFonts w:cs="Times New Roman"/>
          <w:b/>
          <w:bCs/>
        </w:rPr>
      </w:pPr>
      <w:r w:rsidRPr="007B2341">
        <w:rPr>
          <w:rFonts w:cs="Times New Roman"/>
          <w:b/>
          <w:bCs/>
        </w:rPr>
        <w:t>1</w:t>
      </w:r>
      <w:r w:rsidR="009E50A1" w:rsidRPr="007B2341">
        <w:rPr>
          <w:rFonts w:cs="Times New Roman"/>
          <w:b/>
          <w:bCs/>
        </w:rPr>
        <w:t>2</w:t>
      </w:r>
      <w:r w:rsidR="001C0F3A" w:rsidRPr="007B2341">
        <w:rPr>
          <w:rFonts w:cs="Times New Roman"/>
          <w:b/>
          <w:bCs/>
        </w:rPr>
        <w:t>. Monitoring and Enforcement</w:t>
      </w:r>
    </w:p>
    <w:p w14:paraId="4C424BFC" w14:textId="6114EDD2" w:rsidR="001C0F3A" w:rsidRPr="007B2341" w:rsidRDefault="00DE124E" w:rsidP="001C0F3A">
      <w:pPr>
        <w:rPr>
          <w:rFonts w:cs="Times New Roman"/>
        </w:rPr>
      </w:pPr>
      <w:r w:rsidRPr="007B2341">
        <w:rPr>
          <w:rFonts w:cs="Times New Roman"/>
        </w:rPr>
        <w:t>The Company</w:t>
      </w:r>
      <w:r w:rsidR="001C0F3A" w:rsidRPr="007B2341">
        <w:rPr>
          <w:rFonts w:cs="Times New Roman"/>
        </w:rPr>
        <w:t xml:space="preserve"> will periodically review and audit compliance with this Data Retention and Data Destruction Policy. Non-compliance may result in disciplinary</w:t>
      </w:r>
      <w:r w:rsidR="009D3556" w:rsidRPr="007B2341">
        <w:rPr>
          <w:rFonts w:cs="Times New Roman"/>
        </w:rPr>
        <w:t xml:space="preserve"> or legal</w:t>
      </w:r>
      <w:r w:rsidR="001C0F3A" w:rsidRPr="007B2341">
        <w:rPr>
          <w:rFonts w:cs="Times New Roman"/>
        </w:rPr>
        <w:t xml:space="preserve"> actions, up to and including termination of employment or contractual relationships.</w:t>
      </w:r>
    </w:p>
    <w:p w14:paraId="2669ECDF" w14:textId="77777777" w:rsidR="001C0F3A" w:rsidRPr="007B2341" w:rsidRDefault="001C0F3A" w:rsidP="001C0F3A">
      <w:pPr>
        <w:rPr>
          <w:rFonts w:cs="Times New Roman"/>
        </w:rPr>
      </w:pPr>
    </w:p>
    <w:p w14:paraId="4807AD8D" w14:textId="0AE72BB7" w:rsidR="001C0F3A" w:rsidRPr="007B2341" w:rsidRDefault="00176BD7" w:rsidP="001C0F3A">
      <w:pPr>
        <w:rPr>
          <w:rFonts w:cs="Times New Roman"/>
          <w:b/>
          <w:bCs/>
        </w:rPr>
      </w:pPr>
      <w:r w:rsidRPr="007B2341">
        <w:rPr>
          <w:rFonts w:cs="Times New Roman"/>
          <w:b/>
          <w:bCs/>
        </w:rPr>
        <w:t>1</w:t>
      </w:r>
      <w:r w:rsidR="009E50A1" w:rsidRPr="007B2341">
        <w:rPr>
          <w:rFonts w:cs="Times New Roman"/>
          <w:b/>
          <w:bCs/>
        </w:rPr>
        <w:t>3</w:t>
      </w:r>
      <w:r w:rsidR="001C0F3A" w:rsidRPr="007B2341">
        <w:rPr>
          <w:rFonts w:cs="Times New Roman"/>
          <w:b/>
          <w:bCs/>
        </w:rPr>
        <w:t>. Review and Revision</w:t>
      </w:r>
    </w:p>
    <w:p w14:paraId="067D8C3B" w14:textId="2DF38A35" w:rsidR="000741FC" w:rsidRPr="007B2341" w:rsidRDefault="001C0F3A" w:rsidP="001C0F3A">
      <w:pPr>
        <w:rPr>
          <w:rFonts w:cs="Times New Roman"/>
        </w:rPr>
      </w:pPr>
      <w:r w:rsidRPr="007B2341">
        <w:rPr>
          <w:rFonts w:cs="Times New Roman"/>
        </w:rPr>
        <w:t>This Data Retention and Data Destruction Policy will be reviewed periodically and updated as necessary to reflect changes in laws, regulations, and business needs.</w:t>
      </w:r>
    </w:p>
    <w:p w14:paraId="6977A4A0" w14:textId="335084A4" w:rsidR="000741FC" w:rsidRPr="007B2341" w:rsidRDefault="000741FC" w:rsidP="000741FC">
      <w:pPr>
        <w:spacing w:after="160" w:line="259" w:lineRule="auto"/>
        <w:rPr>
          <w:rFonts w:cs="Times New Roman"/>
        </w:rPr>
      </w:pPr>
    </w:p>
    <w:p w14:paraId="187E1FE6" w14:textId="3D1D08FC" w:rsidR="001C0F3A" w:rsidRPr="007B2341" w:rsidRDefault="00176BD7" w:rsidP="001C0F3A">
      <w:pPr>
        <w:rPr>
          <w:rFonts w:cs="Times New Roman"/>
          <w:b/>
          <w:bCs/>
        </w:rPr>
      </w:pPr>
      <w:r w:rsidRPr="007B2341">
        <w:rPr>
          <w:rFonts w:cs="Times New Roman"/>
          <w:b/>
          <w:bCs/>
        </w:rPr>
        <w:t>1</w:t>
      </w:r>
      <w:r w:rsidR="009E50A1" w:rsidRPr="007B2341">
        <w:rPr>
          <w:rFonts w:cs="Times New Roman"/>
          <w:b/>
          <w:bCs/>
        </w:rPr>
        <w:t>4</w:t>
      </w:r>
      <w:r w:rsidR="001C0F3A" w:rsidRPr="007B2341">
        <w:rPr>
          <w:rFonts w:cs="Times New Roman"/>
          <w:b/>
          <w:bCs/>
        </w:rPr>
        <w:t>. Contact Information</w:t>
      </w:r>
    </w:p>
    <w:p w14:paraId="399A699C" w14:textId="2CFD5764" w:rsidR="001C0F3A" w:rsidRPr="007B2341" w:rsidRDefault="001C0F3A" w:rsidP="001C0F3A">
      <w:pPr>
        <w:rPr>
          <w:rFonts w:cs="Times New Roman"/>
        </w:rPr>
      </w:pPr>
      <w:r w:rsidRPr="007B2341">
        <w:rPr>
          <w:rFonts w:cs="Times New Roman"/>
        </w:rPr>
        <w:t>For questions or concerns related to this policy, please contact the Data Privacy Officer at</w:t>
      </w:r>
      <w:r w:rsidR="005A4F62" w:rsidRPr="007B2341">
        <w:rPr>
          <w:rFonts w:cs="Times New Roman"/>
        </w:rPr>
        <w:t>:</w:t>
      </w:r>
    </w:p>
    <w:tbl>
      <w:tblPr>
        <w:tblStyle w:val="TableGrid"/>
        <w:tblW w:w="0" w:type="auto"/>
        <w:jc w:val="center"/>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2695"/>
      </w:tblGrid>
      <w:tr w:rsidR="000741FC" w:rsidRPr="007B2341" w14:paraId="55CF02EB" w14:textId="77777777" w:rsidTr="000741FC">
        <w:trPr>
          <w:jc w:val="center"/>
        </w:trPr>
        <w:tc>
          <w:tcPr>
            <w:tcW w:w="2695" w:type="dxa"/>
            <w:shd w:val="clear" w:color="auto" w:fill="E7E6E6" w:themeFill="background2"/>
          </w:tcPr>
          <w:p w14:paraId="08CDAF69" w14:textId="427989E6" w:rsidR="000741FC" w:rsidRPr="007B2341" w:rsidRDefault="000741FC" w:rsidP="000741FC">
            <w:pPr>
              <w:jc w:val="center"/>
              <w:rPr>
                <w:rFonts w:cs="Times New Roman"/>
              </w:rPr>
            </w:pPr>
            <w:r w:rsidRPr="007B2341">
              <w:rPr>
                <w:rFonts w:cs="Times New Roman"/>
              </w:rPr>
              <w:t>Jane Westcliffe</w:t>
            </w:r>
          </w:p>
        </w:tc>
      </w:tr>
      <w:tr w:rsidR="000741FC" w:rsidRPr="007B2341" w14:paraId="5307A647" w14:textId="77777777" w:rsidTr="000741FC">
        <w:trPr>
          <w:jc w:val="center"/>
        </w:trPr>
        <w:tc>
          <w:tcPr>
            <w:tcW w:w="2695" w:type="dxa"/>
            <w:shd w:val="clear" w:color="auto" w:fill="E7E6E6" w:themeFill="background2"/>
          </w:tcPr>
          <w:p w14:paraId="01AFDEEC" w14:textId="19B4395C" w:rsidR="000741FC" w:rsidRPr="007B2341" w:rsidRDefault="000741FC" w:rsidP="000741FC">
            <w:pPr>
              <w:jc w:val="center"/>
              <w:rPr>
                <w:rFonts w:cs="Times New Roman"/>
              </w:rPr>
            </w:pPr>
            <w:r w:rsidRPr="007B2341">
              <w:rPr>
                <w:rFonts w:cs="Times New Roman"/>
              </w:rPr>
              <w:t>j.westcliffe@xyz.org</w:t>
            </w:r>
          </w:p>
        </w:tc>
      </w:tr>
      <w:tr w:rsidR="000741FC" w:rsidRPr="007B2341" w14:paraId="1E46DFFD" w14:textId="77777777" w:rsidTr="000741FC">
        <w:trPr>
          <w:jc w:val="center"/>
        </w:trPr>
        <w:tc>
          <w:tcPr>
            <w:tcW w:w="2695" w:type="dxa"/>
            <w:shd w:val="clear" w:color="auto" w:fill="E7E6E6" w:themeFill="background2"/>
          </w:tcPr>
          <w:p w14:paraId="6782C184" w14:textId="66EA54E7" w:rsidR="000741FC" w:rsidRPr="007B2341" w:rsidRDefault="000741FC" w:rsidP="000741FC">
            <w:pPr>
              <w:jc w:val="center"/>
              <w:rPr>
                <w:rFonts w:cs="Times New Roman"/>
              </w:rPr>
            </w:pPr>
            <w:r w:rsidRPr="007B2341">
              <w:rPr>
                <w:rFonts w:cs="Times New Roman"/>
              </w:rPr>
              <w:t>(321)-135-9753</w:t>
            </w:r>
          </w:p>
        </w:tc>
      </w:tr>
    </w:tbl>
    <w:p w14:paraId="4679A997" w14:textId="77777777" w:rsidR="00176BD7" w:rsidRPr="007B2341" w:rsidRDefault="00176BD7" w:rsidP="00176BD7">
      <w:pPr>
        <w:spacing w:after="160" w:line="259" w:lineRule="auto"/>
        <w:rPr>
          <w:rFonts w:cs="Times New Roman"/>
          <w:b/>
          <w:bCs/>
        </w:rPr>
      </w:pPr>
    </w:p>
    <w:p w14:paraId="6A2925F1" w14:textId="6401274E" w:rsidR="001C0F3A" w:rsidRPr="007B2341" w:rsidRDefault="001C0F3A" w:rsidP="003D2B54">
      <w:pPr>
        <w:spacing w:after="160" w:line="259" w:lineRule="auto"/>
        <w:rPr>
          <w:rFonts w:cs="Times New Roman"/>
          <w:b/>
          <w:bCs/>
        </w:rPr>
      </w:pPr>
      <w:r w:rsidRPr="007B2341">
        <w:rPr>
          <w:rFonts w:cs="Times New Roman"/>
          <w:b/>
          <w:bCs/>
        </w:rPr>
        <w:t>1</w:t>
      </w:r>
      <w:r w:rsidR="009E50A1" w:rsidRPr="007B2341">
        <w:rPr>
          <w:rFonts w:cs="Times New Roman"/>
          <w:b/>
          <w:bCs/>
        </w:rPr>
        <w:t>5</w:t>
      </w:r>
      <w:r w:rsidRPr="007B2341">
        <w:rPr>
          <w:rFonts w:cs="Times New Roman"/>
          <w:b/>
          <w:bCs/>
        </w:rPr>
        <w:t>. Acknowledgment</w:t>
      </w:r>
    </w:p>
    <w:p w14:paraId="188D1AB7" w14:textId="7B413BCF" w:rsidR="001C0F3A" w:rsidRPr="007B2341" w:rsidRDefault="001C0F3A" w:rsidP="001C0F3A">
      <w:pPr>
        <w:rPr>
          <w:rFonts w:cs="Times New Roman"/>
        </w:rPr>
      </w:pPr>
      <w:r w:rsidRPr="007B2341">
        <w:rPr>
          <w:rFonts w:cs="Times New Roman"/>
        </w:rPr>
        <w:t xml:space="preserve">I acknowledge that I have received, read, and understood </w:t>
      </w:r>
      <w:r w:rsidR="00DE124E" w:rsidRPr="007B2341">
        <w:rPr>
          <w:rFonts w:cs="Times New Roman"/>
        </w:rPr>
        <w:t>The Company’s</w:t>
      </w:r>
      <w:r w:rsidRPr="007B2341">
        <w:rPr>
          <w:rFonts w:cs="Times New Roman"/>
        </w:rPr>
        <w:t xml:space="preserve"> Data Retention and Data Destruction Policy. I agree to comply with its provisions and requirements.</w:t>
      </w:r>
    </w:p>
    <w:p w14:paraId="78469E51" w14:textId="01E9DD8C" w:rsidR="001C0F3A" w:rsidRPr="007B2341" w:rsidRDefault="001C0F3A" w:rsidP="001C0F3A">
      <w:pPr>
        <w:rPr>
          <w:rFonts w:cs="Times New Roman"/>
          <w:b/>
          <w:bCs/>
        </w:rPr>
      </w:pPr>
      <w:r w:rsidRPr="007B2341">
        <w:rPr>
          <w:rFonts w:cs="Times New Roman"/>
          <w:b/>
          <w:bCs/>
        </w:rPr>
        <w:t>Employee/Contractor Name: __________________________</w:t>
      </w:r>
    </w:p>
    <w:p w14:paraId="3AB70EB7" w14:textId="55B77CF2" w:rsidR="001C0F3A" w:rsidRPr="007B2341" w:rsidRDefault="001C0F3A" w:rsidP="001C0F3A">
      <w:pPr>
        <w:rPr>
          <w:rFonts w:cs="Times New Roman"/>
          <w:b/>
          <w:bCs/>
        </w:rPr>
      </w:pPr>
      <w:r w:rsidRPr="007B2341">
        <w:rPr>
          <w:rFonts w:cs="Times New Roman"/>
          <w:b/>
          <w:bCs/>
        </w:rPr>
        <w:t>Signature:</w:t>
      </w:r>
      <w:r w:rsidR="009D3556" w:rsidRPr="007B2341">
        <w:rPr>
          <w:rFonts w:cs="Times New Roman"/>
          <w:b/>
          <w:bCs/>
        </w:rPr>
        <w:t xml:space="preserve"> </w:t>
      </w:r>
      <w:r w:rsidRPr="007B2341">
        <w:rPr>
          <w:rFonts w:cs="Times New Roman"/>
          <w:b/>
          <w:bCs/>
        </w:rPr>
        <w:t>__________________________</w:t>
      </w:r>
    </w:p>
    <w:p w14:paraId="458FD2DC" w14:textId="77B450B4" w:rsidR="00A36187" w:rsidRPr="007B2341" w:rsidRDefault="001C0F3A" w:rsidP="001C0F3A">
      <w:pPr>
        <w:rPr>
          <w:rFonts w:cs="Times New Roman"/>
          <w:b/>
          <w:bCs/>
        </w:rPr>
      </w:pPr>
      <w:r w:rsidRPr="007B2341">
        <w:rPr>
          <w:rFonts w:cs="Times New Roman"/>
          <w:b/>
          <w:bCs/>
        </w:rPr>
        <w:t>Date:</w:t>
      </w:r>
      <w:r w:rsidR="009D3556" w:rsidRPr="007B2341">
        <w:rPr>
          <w:rFonts w:cs="Times New Roman"/>
          <w:b/>
          <w:bCs/>
        </w:rPr>
        <w:t xml:space="preserve"> </w:t>
      </w:r>
      <w:r w:rsidRPr="007B2341">
        <w:rPr>
          <w:rFonts w:cs="Times New Roman"/>
          <w:b/>
          <w:bCs/>
        </w:rPr>
        <w:t>__________________________</w:t>
      </w:r>
    </w:p>
    <w:sdt>
      <w:sdtPr>
        <w:rPr>
          <w:rFonts w:eastAsiaTheme="minorEastAsia"/>
          <w:b w:val="0"/>
          <w:bCs w:val="0"/>
          <w:kern w:val="2"/>
          <w:sz w:val="24"/>
          <w:szCs w:val="22"/>
        </w:rPr>
        <w:id w:val="847456254"/>
        <w:docPartObj>
          <w:docPartGallery w:val="Bibliographies"/>
          <w:docPartUnique/>
        </w:docPartObj>
      </w:sdtPr>
      <w:sdtContent>
        <w:p w14:paraId="3FCCE149" w14:textId="12C3F287" w:rsidR="00357D93" w:rsidRPr="007B2341" w:rsidRDefault="00357D93">
          <w:pPr>
            <w:pStyle w:val="Heading1"/>
            <w:rPr>
              <w:sz w:val="24"/>
              <w:szCs w:val="40"/>
            </w:rPr>
          </w:pPr>
          <w:r w:rsidRPr="007B2341">
            <w:rPr>
              <w:sz w:val="24"/>
              <w:szCs w:val="40"/>
            </w:rPr>
            <w:t>References</w:t>
          </w:r>
        </w:p>
        <w:sdt>
          <w:sdtPr>
            <w:rPr>
              <w:rFonts w:cs="Times New Roman"/>
            </w:rPr>
            <w:id w:val="-573587230"/>
            <w:bibliography/>
          </w:sdtPr>
          <w:sdtContent>
            <w:p w14:paraId="06D527F4" w14:textId="77777777" w:rsidR="00710CCC" w:rsidRPr="007B2341" w:rsidRDefault="00357D93" w:rsidP="00710CCC">
              <w:pPr>
                <w:pStyle w:val="Bibliography"/>
                <w:ind w:left="720" w:hanging="720"/>
                <w:rPr>
                  <w:rFonts w:cs="Times New Roman"/>
                  <w:noProof/>
                  <w:kern w:val="0"/>
                  <w:szCs w:val="24"/>
                  <w14:ligatures w14:val="none"/>
                </w:rPr>
              </w:pPr>
              <w:r w:rsidRPr="007B2341">
                <w:rPr>
                  <w:rFonts w:cs="Times New Roman"/>
                </w:rPr>
                <w:fldChar w:fldCharType="begin"/>
              </w:r>
              <w:r w:rsidRPr="007B2341">
                <w:rPr>
                  <w:rFonts w:cs="Times New Roman"/>
                </w:rPr>
                <w:instrText xml:space="preserve"> BIBLIOGRAPHY </w:instrText>
              </w:r>
              <w:r w:rsidRPr="007B2341">
                <w:rPr>
                  <w:rFonts w:cs="Times New Roman"/>
                </w:rPr>
                <w:fldChar w:fldCharType="separate"/>
              </w:r>
              <w:r w:rsidR="00710CCC" w:rsidRPr="007B2341">
                <w:rPr>
                  <w:rFonts w:cs="Times New Roman"/>
                  <w:noProof/>
                </w:rPr>
                <w:t xml:space="preserve">IRS. (2021). </w:t>
              </w:r>
              <w:r w:rsidR="00710CCC" w:rsidRPr="007B2341">
                <w:rPr>
                  <w:rFonts w:cs="Times New Roman"/>
                  <w:i/>
                  <w:iCs/>
                  <w:noProof/>
                </w:rPr>
                <w:t>Starting a Business and Keeping Records.</w:t>
              </w:r>
              <w:r w:rsidR="00710CCC" w:rsidRPr="007B2341">
                <w:rPr>
                  <w:rFonts w:cs="Times New Roman"/>
                  <w:noProof/>
                </w:rPr>
                <w:t xml:space="preserve"> Washington D.C.: Internal Revenue Service. Retrieved from https://www.irs.gov/pub/irs-pdf/p583.pdf</w:t>
              </w:r>
            </w:p>
            <w:p w14:paraId="3A6A7A35" w14:textId="77777777" w:rsidR="00710CCC" w:rsidRPr="007B2341" w:rsidRDefault="00710CCC" w:rsidP="00710CCC">
              <w:pPr>
                <w:pStyle w:val="Bibliography"/>
                <w:ind w:left="720" w:hanging="720"/>
                <w:rPr>
                  <w:rFonts w:cs="Times New Roman"/>
                  <w:noProof/>
                </w:rPr>
              </w:pPr>
              <w:r w:rsidRPr="007B2341">
                <w:rPr>
                  <w:rFonts w:cs="Times New Roman"/>
                  <w:noProof/>
                </w:rPr>
                <w:t xml:space="preserve">NFIB. (2005). </w:t>
              </w:r>
              <w:r w:rsidRPr="007B2341">
                <w:rPr>
                  <w:rFonts w:cs="Times New Roman"/>
                  <w:i/>
                  <w:iCs/>
                  <w:noProof/>
                </w:rPr>
                <w:t>Guide to Document Retention.</w:t>
              </w:r>
              <w:r w:rsidRPr="007B2341">
                <w:rPr>
                  <w:rFonts w:cs="Times New Roman"/>
                  <w:noProof/>
                </w:rPr>
                <w:t xml:space="preserve"> National Federation of Independent Business. Retrieved from https://www.nfib.com/documents/pdf/faststart/guide-to-doc-retention.pdf</w:t>
              </w:r>
            </w:p>
            <w:p w14:paraId="21DF106F" w14:textId="77777777" w:rsidR="00710CCC" w:rsidRPr="007B2341" w:rsidRDefault="00710CCC" w:rsidP="00710CCC">
              <w:pPr>
                <w:pStyle w:val="Bibliography"/>
                <w:ind w:left="720" w:hanging="720"/>
                <w:rPr>
                  <w:rFonts w:cs="Times New Roman"/>
                  <w:noProof/>
                </w:rPr>
              </w:pPr>
              <w:r w:rsidRPr="007B2341">
                <w:rPr>
                  <w:rFonts w:cs="Times New Roman"/>
                  <w:noProof/>
                </w:rPr>
                <w:t xml:space="preserve">Wrozek, B. (2001). </w:t>
              </w:r>
              <w:r w:rsidRPr="007B2341">
                <w:rPr>
                  <w:rFonts w:cs="Times New Roman"/>
                  <w:i/>
                  <w:iCs/>
                  <w:noProof/>
                </w:rPr>
                <w:t>Electronic Data Retention Policy.</w:t>
              </w:r>
              <w:r w:rsidRPr="007B2341">
                <w:rPr>
                  <w:rFonts w:cs="Times New Roman"/>
                  <w:noProof/>
                </w:rPr>
                <w:t xml:space="preserve"> SANS. Retrieved from https://www.sans.org/white-papers/514/</w:t>
              </w:r>
            </w:p>
            <w:p w14:paraId="31EB71A1" w14:textId="76396426" w:rsidR="00357D93" w:rsidRPr="007B2341" w:rsidRDefault="00357D93" w:rsidP="00710CCC">
              <w:pPr>
                <w:rPr>
                  <w:rFonts w:cs="Times New Roman"/>
                </w:rPr>
              </w:pPr>
              <w:r w:rsidRPr="007B2341">
                <w:rPr>
                  <w:rFonts w:cs="Times New Roman"/>
                  <w:b/>
                  <w:bCs/>
                  <w:noProof/>
                </w:rPr>
                <w:fldChar w:fldCharType="end"/>
              </w:r>
            </w:p>
          </w:sdtContent>
        </w:sdt>
      </w:sdtContent>
    </w:sdt>
    <w:p w14:paraId="52FE0FE3" w14:textId="595B1847" w:rsidR="00A36D1C" w:rsidRPr="007B2341" w:rsidRDefault="00A36D1C" w:rsidP="00A36187">
      <w:pPr>
        <w:spacing w:after="160" w:line="259" w:lineRule="auto"/>
        <w:rPr>
          <w:rFonts w:cs="Times New Roman"/>
          <w:b/>
          <w:bCs/>
        </w:rPr>
      </w:pPr>
    </w:p>
    <w:sectPr w:rsidR="00A36D1C" w:rsidRPr="007B2341" w:rsidSect="005A4F6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B4F0A" w14:textId="77777777" w:rsidR="00D15B28" w:rsidRDefault="00D15B28" w:rsidP="005A4F62">
      <w:pPr>
        <w:spacing w:line="240" w:lineRule="auto"/>
      </w:pPr>
      <w:r>
        <w:separator/>
      </w:r>
    </w:p>
  </w:endnote>
  <w:endnote w:type="continuationSeparator" w:id="0">
    <w:p w14:paraId="04E5FDBB" w14:textId="77777777" w:rsidR="00D15B28" w:rsidRDefault="00D15B28" w:rsidP="005A4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E15B4" w14:textId="77777777" w:rsidR="00D15B28" w:rsidRDefault="00D15B28" w:rsidP="005A4F62">
      <w:pPr>
        <w:spacing w:line="240" w:lineRule="auto"/>
      </w:pPr>
      <w:r>
        <w:separator/>
      </w:r>
    </w:p>
  </w:footnote>
  <w:footnote w:type="continuationSeparator" w:id="0">
    <w:p w14:paraId="2367E919" w14:textId="77777777" w:rsidR="00D15B28" w:rsidRDefault="00D15B28" w:rsidP="005A4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768A"/>
    <w:multiLevelType w:val="hybridMultilevel"/>
    <w:tmpl w:val="1F10F46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A72BAF"/>
    <w:multiLevelType w:val="hybridMultilevel"/>
    <w:tmpl w:val="49E69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E7B4B"/>
    <w:multiLevelType w:val="hybridMultilevel"/>
    <w:tmpl w:val="97820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B586A"/>
    <w:multiLevelType w:val="hybridMultilevel"/>
    <w:tmpl w:val="7778BFA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61D2"/>
    <w:multiLevelType w:val="hybridMultilevel"/>
    <w:tmpl w:val="DD081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9C40E7"/>
    <w:multiLevelType w:val="hybridMultilevel"/>
    <w:tmpl w:val="5426A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77624A"/>
    <w:multiLevelType w:val="hybridMultilevel"/>
    <w:tmpl w:val="00AA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001479">
    <w:abstractNumId w:val="5"/>
  </w:num>
  <w:num w:numId="2" w16cid:durableId="1270964831">
    <w:abstractNumId w:val="3"/>
  </w:num>
  <w:num w:numId="3" w16cid:durableId="1263420231">
    <w:abstractNumId w:val="4"/>
  </w:num>
  <w:num w:numId="4" w16cid:durableId="1557932251">
    <w:abstractNumId w:val="0"/>
  </w:num>
  <w:num w:numId="5" w16cid:durableId="1937710732">
    <w:abstractNumId w:val="2"/>
  </w:num>
  <w:num w:numId="6" w16cid:durableId="641692312">
    <w:abstractNumId w:val="1"/>
  </w:num>
  <w:num w:numId="7" w16cid:durableId="206768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23"/>
    <w:rsid w:val="00000FE2"/>
    <w:rsid w:val="00021E2A"/>
    <w:rsid w:val="00071318"/>
    <w:rsid w:val="000741FC"/>
    <w:rsid w:val="00084E18"/>
    <w:rsid w:val="000A13B4"/>
    <w:rsid w:val="000B5DC8"/>
    <w:rsid w:val="000F50A9"/>
    <w:rsid w:val="00102A70"/>
    <w:rsid w:val="0014354F"/>
    <w:rsid w:val="00154B99"/>
    <w:rsid w:val="00176BD7"/>
    <w:rsid w:val="001C0F3A"/>
    <w:rsid w:val="002148DD"/>
    <w:rsid w:val="00221B65"/>
    <w:rsid w:val="00234C04"/>
    <w:rsid w:val="002411D6"/>
    <w:rsid w:val="00271066"/>
    <w:rsid w:val="0029205E"/>
    <w:rsid w:val="002D3B70"/>
    <w:rsid w:val="00357D93"/>
    <w:rsid w:val="00372287"/>
    <w:rsid w:val="003D2B54"/>
    <w:rsid w:val="00427EB9"/>
    <w:rsid w:val="00431EDF"/>
    <w:rsid w:val="00433B97"/>
    <w:rsid w:val="00434B50"/>
    <w:rsid w:val="00490793"/>
    <w:rsid w:val="004930F9"/>
    <w:rsid w:val="004D2809"/>
    <w:rsid w:val="004D50AC"/>
    <w:rsid w:val="004E4CE3"/>
    <w:rsid w:val="005017C6"/>
    <w:rsid w:val="00516275"/>
    <w:rsid w:val="00521C9B"/>
    <w:rsid w:val="00533C64"/>
    <w:rsid w:val="00541547"/>
    <w:rsid w:val="005649D3"/>
    <w:rsid w:val="005714C8"/>
    <w:rsid w:val="00574592"/>
    <w:rsid w:val="00583C2E"/>
    <w:rsid w:val="00585CAC"/>
    <w:rsid w:val="005A4F62"/>
    <w:rsid w:val="005A77A0"/>
    <w:rsid w:val="00634EE8"/>
    <w:rsid w:val="00637E08"/>
    <w:rsid w:val="00642208"/>
    <w:rsid w:val="00647A83"/>
    <w:rsid w:val="006775EC"/>
    <w:rsid w:val="00696C1A"/>
    <w:rsid w:val="006A267E"/>
    <w:rsid w:val="006B21A9"/>
    <w:rsid w:val="00710CCC"/>
    <w:rsid w:val="00714952"/>
    <w:rsid w:val="00765650"/>
    <w:rsid w:val="0077338D"/>
    <w:rsid w:val="007758BD"/>
    <w:rsid w:val="007B2341"/>
    <w:rsid w:val="007B7D4A"/>
    <w:rsid w:val="007E3A7B"/>
    <w:rsid w:val="007F2E74"/>
    <w:rsid w:val="00810E7B"/>
    <w:rsid w:val="00820CD0"/>
    <w:rsid w:val="00841551"/>
    <w:rsid w:val="00860D9B"/>
    <w:rsid w:val="0086630E"/>
    <w:rsid w:val="0087209B"/>
    <w:rsid w:val="008A1BFB"/>
    <w:rsid w:val="008A718B"/>
    <w:rsid w:val="00916909"/>
    <w:rsid w:val="00983F23"/>
    <w:rsid w:val="009969A9"/>
    <w:rsid w:val="009B33FB"/>
    <w:rsid w:val="009D10E6"/>
    <w:rsid w:val="009D3556"/>
    <w:rsid w:val="009E50A1"/>
    <w:rsid w:val="009F672B"/>
    <w:rsid w:val="00A34382"/>
    <w:rsid w:val="00A36187"/>
    <w:rsid w:val="00A36D1C"/>
    <w:rsid w:val="00A77EA5"/>
    <w:rsid w:val="00AC7F6C"/>
    <w:rsid w:val="00AF1183"/>
    <w:rsid w:val="00B41F99"/>
    <w:rsid w:val="00B472C9"/>
    <w:rsid w:val="00B6674F"/>
    <w:rsid w:val="00BF4051"/>
    <w:rsid w:val="00C020DC"/>
    <w:rsid w:val="00C0581E"/>
    <w:rsid w:val="00C228E5"/>
    <w:rsid w:val="00C64733"/>
    <w:rsid w:val="00CE485B"/>
    <w:rsid w:val="00D06D9B"/>
    <w:rsid w:val="00D15B28"/>
    <w:rsid w:val="00D3384F"/>
    <w:rsid w:val="00D51DCE"/>
    <w:rsid w:val="00D618C4"/>
    <w:rsid w:val="00DB7022"/>
    <w:rsid w:val="00DE124E"/>
    <w:rsid w:val="00DF3C8C"/>
    <w:rsid w:val="00E0594C"/>
    <w:rsid w:val="00E20A67"/>
    <w:rsid w:val="00EA3CF9"/>
    <w:rsid w:val="00EA7CBF"/>
    <w:rsid w:val="00EB3136"/>
    <w:rsid w:val="00EC6E06"/>
    <w:rsid w:val="00EE691F"/>
    <w:rsid w:val="00EF6F04"/>
    <w:rsid w:val="00F128B2"/>
    <w:rsid w:val="00F22809"/>
    <w:rsid w:val="00F41425"/>
    <w:rsid w:val="00F554A6"/>
    <w:rsid w:val="00F83C67"/>
    <w:rsid w:val="00FA10D7"/>
    <w:rsid w:val="00FC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78B8"/>
  <w15:chartTrackingRefBased/>
  <w15:docId w15:val="{C9089393-845C-44D8-AE79-1423447F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D3384F"/>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3384F"/>
    <w:rPr>
      <w:rFonts w:ascii="Times New Roman" w:eastAsia="Times New Roman" w:hAnsi="Times New Roman" w:cs="Times New Roman"/>
      <w:b/>
      <w:bCs/>
      <w:kern w:val="36"/>
      <w:sz w:val="32"/>
      <w:szCs w:val="48"/>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Header">
    <w:name w:val="header"/>
    <w:basedOn w:val="Normal"/>
    <w:link w:val="HeaderChar"/>
    <w:uiPriority w:val="99"/>
    <w:unhideWhenUsed/>
    <w:rsid w:val="005A4F62"/>
    <w:pPr>
      <w:tabs>
        <w:tab w:val="center" w:pos="4680"/>
        <w:tab w:val="right" w:pos="9360"/>
      </w:tabs>
      <w:spacing w:line="240" w:lineRule="auto"/>
    </w:pPr>
  </w:style>
  <w:style w:type="character" w:customStyle="1" w:styleId="HeaderChar">
    <w:name w:val="Header Char"/>
    <w:basedOn w:val="DefaultParagraphFont"/>
    <w:link w:val="Header"/>
    <w:uiPriority w:val="99"/>
    <w:rsid w:val="005A4F62"/>
    <w:rPr>
      <w:rFonts w:ascii="Times New Roman" w:eastAsiaTheme="minorEastAsia" w:hAnsi="Times New Roman"/>
      <w:sz w:val="24"/>
    </w:rPr>
  </w:style>
  <w:style w:type="paragraph" w:styleId="Footer">
    <w:name w:val="footer"/>
    <w:basedOn w:val="Normal"/>
    <w:link w:val="FooterChar"/>
    <w:uiPriority w:val="99"/>
    <w:unhideWhenUsed/>
    <w:rsid w:val="005A4F62"/>
    <w:pPr>
      <w:tabs>
        <w:tab w:val="center" w:pos="4680"/>
        <w:tab w:val="right" w:pos="9360"/>
      </w:tabs>
      <w:spacing w:line="240" w:lineRule="auto"/>
    </w:pPr>
  </w:style>
  <w:style w:type="character" w:customStyle="1" w:styleId="FooterChar">
    <w:name w:val="Footer Char"/>
    <w:basedOn w:val="DefaultParagraphFont"/>
    <w:link w:val="Footer"/>
    <w:uiPriority w:val="99"/>
    <w:rsid w:val="005A4F62"/>
    <w:rPr>
      <w:rFonts w:ascii="Times New Roman" w:eastAsiaTheme="minorEastAsia" w:hAnsi="Times New Roman"/>
      <w:sz w:val="24"/>
    </w:rPr>
  </w:style>
  <w:style w:type="character" w:styleId="Hyperlink">
    <w:name w:val="Hyperlink"/>
    <w:basedOn w:val="DefaultParagraphFont"/>
    <w:uiPriority w:val="99"/>
    <w:unhideWhenUsed/>
    <w:rsid w:val="00176BD7"/>
    <w:rPr>
      <w:color w:val="0563C1" w:themeColor="hyperlink"/>
      <w:u w:val="single"/>
    </w:rPr>
  </w:style>
  <w:style w:type="character" w:styleId="UnresolvedMention">
    <w:name w:val="Unresolved Mention"/>
    <w:basedOn w:val="DefaultParagraphFont"/>
    <w:uiPriority w:val="99"/>
    <w:semiHidden/>
    <w:unhideWhenUsed/>
    <w:rsid w:val="00176BD7"/>
    <w:rPr>
      <w:color w:val="605E5C"/>
      <w:shd w:val="clear" w:color="auto" w:fill="E1DFDD"/>
    </w:rPr>
  </w:style>
  <w:style w:type="table" w:styleId="TableGrid">
    <w:name w:val="Table Grid"/>
    <w:basedOn w:val="TableNormal"/>
    <w:uiPriority w:val="39"/>
    <w:rsid w:val="001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0A1"/>
    <w:pPr>
      <w:ind w:left="720"/>
      <w:contextualSpacing/>
    </w:pPr>
  </w:style>
  <w:style w:type="paragraph" w:styleId="Bibliography">
    <w:name w:val="Bibliography"/>
    <w:basedOn w:val="Normal"/>
    <w:next w:val="Normal"/>
    <w:uiPriority w:val="37"/>
    <w:unhideWhenUsed/>
    <w:rsid w:val="0035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56984">
      <w:bodyDiv w:val="1"/>
      <w:marLeft w:val="0"/>
      <w:marRight w:val="0"/>
      <w:marTop w:val="0"/>
      <w:marBottom w:val="0"/>
      <w:divBdr>
        <w:top w:val="none" w:sz="0" w:space="0" w:color="auto"/>
        <w:left w:val="none" w:sz="0" w:space="0" w:color="auto"/>
        <w:bottom w:val="none" w:sz="0" w:space="0" w:color="auto"/>
        <w:right w:val="none" w:sz="0" w:space="0" w:color="auto"/>
      </w:divBdr>
    </w:div>
    <w:div w:id="851341966">
      <w:bodyDiv w:val="1"/>
      <w:marLeft w:val="0"/>
      <w:marRight w:val="0"/>
      <w:marTop w:val="0"/>
      <w:marBottom w:val="0"/>
      <w:divBdr>
        <w:top w:val="none" w:sz="0" w:space="0" w:color="auto"/>
        <w:left w:val="none" w:sz="0" w:space="0" w:color="auto"/>
        <w:bottom w:val="none" w:sz="0" w:space="0" w:color="auto"/>
        <w:right w:val="none" w:sz="0" w:space="0" w:color="auto"/>
      </w:divBdr>
    </w:div>
    <w:div w:id="11927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IRS21</b:Tag>
    <b:SourceType>Book</b:SourceType>
    <b:Guid>{A8004666-3CE9-477D-81E8-9BED5E1EC275}</b:Guid>
    <b:Author>
      <b:Author>
        <b:Corporate>IRS</b:Corporate>
      </b:Author>
    </b:Author>
    <b:Title>Starting a Business and Keeping Records</b:Title>
    <b:Year>2021</b:Year>
    <b:City>Washington D.C.</b:City>
    <b:Publisher>Internal Revenue Service</b:Publisher>
    <b:Pages>11-16</b:Pages>
    <b:Medium>PDF</b:Medium>
    <b:URL>https://www.irs.gov/pub/irs-pdf/p583.pdf</b:URL>
    <b:RefOrder>1</b:RefOrder>
  </b:Source>
  <b:Source>
    <b:Tag>Bri01</b:Tag>
    <b:SourceType>Book</b:SourceType>
    <b:Guid>{CEA78A2E-0F65-4DC2-9D28-91E3B50DDA6B}</b:Guid>
    <b:Author>
      <b:Author>
        <b:NameList>
          <b:Person>
            <b:Last>Wrozek</b:Last>
            <b:First>Brian</b:First>
          </b:Person>
        </b:NameList>
      </b:Author>
    </b:Author>
    <b:Title>Electronic Data Retention Policy</b:Title>
    <b:Year>2001</b:Year>
    <b:Publisher>SANS</b:Publisher>
    <b:URL>https://www.sans.org/white-papers/514/</b:URL>
    <b:RefOrder>2</b:RefOrder>
  </b:Source>
  <b:Source>
    <b:Tag>NFI05</b:Tag>
    <b:SourceType>Book</b:SourceType>
    <b:Guid>{BE25E102-51D3-4B35-9333-EDA336E89661}</b:Guid>
    <b:Author>
      <b:Author>
        <b:Corporate>NFIB</b:Corporate>
      </b:Author>
    </b:Author>
    <b:Title>Guide to Document Retention</b:Title>
    <b:Year>2005</b:Year>
    <b:Publisher>National Federation of Independent Business</b:Publisher>
    <b:URL>https://www.nfib.com/documents/pdf/faststart/guide-to-doc-retention.pdf</b:URL>
    <b:RefOrder>3</b:RefOrder>
  </b:Source>
</b:Sources>
</file>

<file path=customXml/itemProps1.xml><?xml version="1.0" encoding="utf-8"?>
<ds:datastoreItem xmlns:ds="http://schemas.openxmlformats.org/officeDocument/2006/customXml" ds:itemID="{69C4A3FF-48CD-4FBF-A485-85AFE8E0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W Mccall</cp:lastModifiedBy>
  <cp:revision>11</cp:revision>
  <dcterms:created xsi:type="dcterms:W3CDTF">2023-10-03T17:25:00Z</dcterms:created>
  <dcterms:modified xsi:type="dcterms:W3CDTF">2025-03-27T20:12:00Z</dcterms:modified>
</cp:coreProperties>
</file>