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76E88">
      <w:pPr>
        <w:spacing w:before="63" w:line="225" w:lineRule="auto"/>
        <w:rPr>
          <w:rFonts w:ascii="宋体" w:hAnsi="宋体" w:eastAsia="宋体" w:cs="宋体"/>
          <w:sz w:val="31"/>
          <w:szCs w:val="31"/>
        </w:rPr>
      </w:pPr>
      <w:r>
        <w:rPr>
          <w:rFonts w:ascii="宋体" w:hAnsi="宋体" w:eastAsia="宋体" w:cs="宋体"/>
          <w:b/>
          <w:bCs/>
          <w:spacing w:val="3"/>
          <w:sz w:val="31"/>
          <w:szCs w:val="31"/>
        </w:rPr>
        <w:t>2024-2025学年量子力学</w:t>
      </w:r>
    </w:p>
    <w:p w14:paraId="5B407499">
      <w:pPr>
        <w:spacing w:before="298" w:line="223" w:lineRule="auto"/>
        <w:ind w:left="3141"/>
        <w:rPr>
          <w:rFonts w:ascii="黑体" w:hAnsi="黑体" w:eastAsia="黑体" w:cs="黑体"/>
          <w:sz w:val="83"/>
          <w:szCs w:val="83"/>
        </w:rPr>
      </w:pPr>
      <w:r>
        <w:rPr>
          <w:rFonts w:ascii="黑体" w:hAnsi="黑体" w:eastAsia="黑体" w:cs="黑体"/>
          <w:b/>
          <w:bCs/>
          <w:spacing w:val="-3"/>
          <w:sz w:val="83"/>
          <w:szCs w:val="83"/>
        </w:rPr>
        <w:t>课程报告</w:t>
      </w:r>
    </w:p>
    <w:p w14:paraId="42DFE266">
      <w:pPr>
        <w:spacing w:line="306" w:lineRule="auto"/>
        <w:rPr>
          <w:rFonts w:ascii="Arial"/>
          <w:sz w:val="21"/>
        </w:rPr>
      </w:pPr>
    </w:p>
    <w:p w14:paraId="663746C5">
      <w:pPr>
        <w:spacing w:line="307" w:lineRule="auto"/>
        <w:rPr>
          <w:rFonts w:ascii="Arial"/>
          <w:sz w:val="21"/>
        </w:rPr>
      </w:pPr>
    </w:p>
    <w:p w14:paraId="540F401F">
      <w:pPr>
        <w:spacing w:before="140" w:line="225" w:lineRule="auto"/>
        <w:ind w:left="2168"/>
        <w:rPr>
          <w:rFonts w:ascii="黑体" w:hAnsi="黑体" w:eastAsia="黑体" w:cs="黑体"/>
          <w:sz w:val="43"/>
          <w:szCs w:val="43"/>
        </w:rPr>
      </w:pPr>
      <w:r>
        <w:rPr>
          <w:rFonts w:ascii="黑体" w:hAnsi="黑体" w:eastAsia="黑体" w:cs="黑体"/>
          <w:b/>
          <w:bCs/>
          <w:spacing w:val="5"/>
          <w:sz w:val="43"/>
          <w:szCs w:val="43"/>
        </w:rPr>
        <w:t>冷原子重力仪中的量子力学</w:t>
      </w:r>
    </w:p>
    <w:p w14:paraId="721A0667">
      <w:pPr>
        <w:spacing w:line="297" w:lineRule="auto"/>
        <w:rPr>
          <w:rFonts w:ascii="Arial"/>
          <w:sz w:val="21"/>
        </w:rPr>
      </w:pPr>
    </w:p>
    <w:p w14:paraId="5BEB3A08">
      <w:pPr>
        <w:spacing w:line="3518" w:lineRule="exact"/>
        <w:ind w:firstLine="2952"/>
      </w:pPr>
      <w:r>
        <w:rPr>
          <w:position w:val="-70"/>
        </w:rPr>
        <w:drawing>
          <wp:inline distT="0" distB="0" distL="0" distR="0">
            <wp:extent cx="2286000" cy="223393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2286000" cy="2234183"/>
                    </a:xfrm>
                    <a:prstGeom prst="rect">
                      <a:avLst/>
                    </a:prstGeom>
                  </pic:spPr>
                </pic:pic>
              </a:graphicData>
            </a:graphic>
          </wp:inline>
        </w:drawing>
      </w:r>
    </w:p>
    <w:p w14:paraId="48F19B7C">
      <w:pPr>
        <w:spacing w:line="337" w:lineRule="auto"/>
        <w:rPr>
          <w:rFonts w:ascii="Arial"/>
          <w:sz w:val="21"/>
        </w:rPr>
      </w:pPr>
    </w:p>
    <w:p w14:paraId="790E968A">
      <w:pPr>
        <w:spacing w:line="338" w:lineRule="auto"/>
        <w:rPr>
          <w:rFonts w:ascii="Arial"/>
          <w:sz w:val="21"/>
        </w:rPr>
      </w:pPr>
    </w:p>
    <w:p w14:paraId="47955748">
      <w:pPr>
        <w:spacing w:before="100" w:line="225" w:lineRule="auto"/>
        <w:ind w:left="3516"/>
        <w:rPr>
          <w:rFonts w:ascii="宋体" w:hAnsi="宋体" w:eastAsia="宋体" w:cs="宋体"/>
          <w:sz w:val="31"/>
          <w:szCs w:val="31"/>
        </w:rPr>
      </w:pPr>
      <w:r>
        <w:rPr>
          <w:rFonts w:ascii="宋体" w:hAnsi="宋体" w:eastAsia="宋体" w:cs="宋体"/>
          <w:b/>
          <w:bCs/>
          <w:spacing w:val="5"/>
          <w:sz w:val="31"/>
          <w:szCs w:val="31"/>
        </w:rPr>
        <w:t>姓名：吴溪语</w:t>
      </w:r>
    </w:p>
    <w:p w14:paraId="3977F1D7">
      <w:pPr>
        <w:spacing w:before="247" w:line="226" w:lineRule="auto"/>
        <w:ind w:left="3523"/>
        <w:rPr>
          <w:rFonts w:ascii="宋体" w:hAnsi="宋体" w:eastAsia="宋体" w:cs="宋体"/>
          <w:sz w:val="31"/>
          <w:szCs w:val="31"/>
        </w:rPr>
      </w:pPr>
      <w:r>
        <w:rPr>
          <w:rFonts w:ascii="宋体" w:hAnsi="宋体" w:eastAsia="宋体" w:cs="宋体"/>
          <w:b/>
          <w:bCs/>
          <w:spacing w:val="2"/>
          <w:sz w:val="31"/>
          <w:szCs w:val="31"/>
        </w:rPr>
        <w:t>学号：</w:t>
      </w:r>
      <w:bookmarkStart w:id="0" w:name="_GoBack"/>
      <w:bookmarkEnd w:id="0"/>
    </w:p>
    <w:p w14:paraId="2A407D36">
      <w:pPr>
        <w:spacing w:before="244" w:line="225" w:lineRule="auto"/>
        <w:ind w:left="3523"/>
        <w:rPr>
          <w:rFonts w:ascii="宋体" w:hAnsi="宋体" w:eastAsia="宋体" w:cs="宋体"/>
          <w:sz w:val="31"/>
          <w:szCs w:val="31"/>
        </w:rPr>
      </w:pPr>
      <w:r>
        <w:rPr>
          <w:rFonts w:ascii="宋体" w:hAnsi="宋体" w:eastAsia="宋体" w:cs="宋体"/>
          <w:b/>
          <w:bCs/>
          <w:spacing w:val="6"/>
          <w:sz w:val="31"/>
          <w:szCs w:val="31"/>
        </w:rPr>
        <w:t>学院：信息与电子工程学院</w:t>
      </w:r>
    </w:p>
    <w:p w14:paraId="6DB0A6EB">
      <w:pPr>
        <w:spacing w:line="255" w:lineRule="auto"/>
        <w:rPr>
          <w:rFonts w:ascii="Arial"/>
          <w:sz w:val="21"/>
        </w:rPr>
      </w:pPr>
    </w:p>
    <w:p w14:paraId="1A50B54C">
      <w:pPr>
        <w:spacing w:line="255" w:lineRule="auto"/>
        <w:rPr>
          <w:rFonts w:ascii="Arial"/>
          <w:sz w:val="21"/>
        </w:rPr>
      </w:pPr>
    </w:p>
    <w:p w14:paraId="34703C45">
      <w:pPr>
        <w:spacing w:line="255" w:lineRule="auto"/>
        <w:rPr>
          <w:rFonts w:ascii="Arial"/>
          <w:sz w:val="21"/>
        </w:rPr>
      </w:pPr>
    </w:p>
    <w:p w14:paraId="0C67A8F7">
      <w:pPr>
        <w:spacing w:before="101" w:line="410" w:lineRule="exact"/>
        <w:ind w:left="3840"/>
        <w:rPr>
          <w:rFonts w:ascii="宋体" w:hAnsi="宋体" w:eastAsia="宋体" w:cs="宋体"/>
          <w:sz w:val="31"/>
          <w:szCs w:val="31"/>
        </w:rPr>
      </w:pPr>
      <w:r>
        <w:rPr>
          <w:rFonts w:ascii="宋体" w:hAnsi="宋体" w:eastAsia="宋体" w:cs="宋体"/>
          <w:b/>
          <w:bCs/>
          <w:position w:val="1"/>
          <w:sz w:val="31"/>
          <w:szCs w:val="31"/>
        </w:rPr>
        <w:t>2025.1.3</w:t>
      </w:r>
    </w:p>
    <w:p w14:paraId="27193D16">
      <w:pPr>
        <w:spacing w:line="410" w:lineRule="exact"/>
        <w:rPr>
          <w:rFonts w:ascii="宋体" w:hAnsi="宋体" w:eastAsia="宋体" w:cs="宋体"/>
          <w:sz w:val="31"/>
          <w:szCs w:val="31"/>
        </w:rPr>
        <w:sectPr>
          <w:pgSz w:w="11906" w:h="16839"/>
          <w:pgMar w:top="1223" w:right="1785" w:bottom="0" w:left="1149" w:header="0" w:footer="0" w:gutter="0"/>
          <w:cols w:space="720" w:num="1"/>
        </w:sectPr>
      </w:pPr>
    </w:p>
    <w:p w14:paraId="0368FDC4">
      <w:pPr>
        <w:pStyle w:val="2"/>
        <w:spacing w:before="61" w:line="222" w:lineRule="auto"/>
        <w:ind w:left="11"/>
        <w:rPr>
          <w:sz w:val="30"/>
          <w:szCs w:val="30"/>
        </w:rPr>
      </w:pPr>
      <w:r>
        <w:rPr>
          <w:b/>
          <w:bCs/>
          <w:spacing w:val="-9"/>
          <w:sz w:val="30"/>
          <w:szCs w:val="30"/>
        </w:rPr>
        <w:t>一、引言</w:t>
      </w:r>
    </w:p>
    <w:p w14:paraId="6972B630">
      <w:pPr>
        <w:pStyle w:val="2"/>
        <w:spacing w:before="136"/>
        <w:ind w:left="1" w:right="103" w:firstLine="482"/>
        <w:jc w:val="both"/>
      </w:pPr>
      <w:r>
        <w:t>在当前的科学探索与各类工程应用领域中，</w:t>
      </w:r>
      <w:r>
        <w:rPr>
          <w:spacing w:val="-1"/>
        </w:rPr>
        <w:t>重力测量具有极其重要的地位。在地球物理</w:t>
      </w:r>
      <w:r>
        <w:t>研究里，为了勘探地下资源，需要精确的重力数据来</w:t>
      </w:r>
      <w:r>
        <w:rPr>
          <w:spacing w:val="-1"/>
        </w:rPr>
        <w:t>推断地质结构；大地测量学在绘制高精</w:t>
      </w:r>
      <w:r>
        <w:t>度地图时，也需要对重力变化的精准测量；基础物理</w:t>
      </w:r>
      <w:r>
        <w:rPr>
          <w:spacing w:val="-1"/>
        </w:rPr>
        <w:t>实验中为了验证引力相关理论，同样要</w:t>
      </w:r>
      <w:r>
        <w:t>求高精度的重力测量结果。传统重力仪经过长时间发</w:t>
      </w:r>
      <w:r>
        <w:rPr>
          <w:spacing w:val="-1"/>
        </w:rPr>
        <w:t>展，虽然在一定程度上能够满足部分需</w:t>
      </w:r>
      <w:r>
        <w:t>求，但随着各领域对重力测量精度和灵敏度要求不断</w:t>
      </w:r>
      <w:r>
        <w:rPr>
          <w:spacing w:val="-1"/>
        </w:rPr>
        <w:t>提高，局限性越发明显；冷原子重力仪</w:t>
      </w:r>
      <w:r>
        <w:t>借助量子力学独特原理，并结合冷原子操控技术，为</w:t>
      </w:r>
      <w:r>
        <w:rPr>
          <w:spacing w:val="-1"/>
        </w:rPr>
        <w:t>重力测量开辟了新途径。深入研究冷原</w:t>
      </w:r>
      <w:r>
        <w:t>子重力仪中的量子力学，可以揭示量子理论与宏观重</w:t>
      </w:r>
      <w:r>
        <w:rPr>
          <w:spacing w:val="-1"/>
        </w:rPr>
        <w:t>力现象之间的精细联系，并将给众多相</w:t>
      </w:r>
      <w:r>
        <w:rPr>
          <w:spacing w:val="-2"/>
        </w:rPr>
        <w:t>关领域带来重大突破。</w:t>
      </w:r>
    </w:p>
    <w:p w14:paraId="790E098E">
      <w:pPr>
        <w:spacing w:line="324" w:lineRule="auto"/>
        <w:rPr>
          <w:rFonts w:ascii="Arial"/>
          <w:sz w:val="21"/>
        </w:rPr>
      </w:pPr>
    </w:p>
    <w:p w14:paraId="1D47D550">
      <w:pPr>
        <w:spacing w:line="325" w:lineRule="auto"/>
        <w:rPr>
          <w:rFonts w:ascii="Arial"/>
          <w:sz w:val="21"/>
        </w:rPr>
      </w:pPr>
    </w:p>
    <w:p w14:paraId="442CF2C2">
      <w:pPr>
        <w:pStyle w:val="2"/>
        <w:spacing w:before="97" w:line="222" w:lineRule="auto"/>
        <w:ind w:left="16"/>
        <w:rPr>
          <w:sz w:val="30"/>
          <w:szCs w:val="30"/>
        </w:rPr>
      </w:pPr>
      <w:r>
        <w:rPr>
          <w:b/>
          <w:bCs/>
          <w:spacing w:val="-5"/>
          <w:sz w:val="30"/>
          <w:szCs w:val="30"/>
        </w:rPr>
        <w:t>二、冷原子重力仪的发展历程</w:t>
      </w:r>
    </w:p>
    <w:p w14:paraId="17561E7E">
      <w:pPr>
        <w:pStyle w:val="2"/>
        <w:spacing w:before="136"/>
        <w:ind w:right="65" w:firstLine="478"/>
        <w:jc w:val="both"/>
      </w:pPr>
      <w:r>
        <w:rPr>
          <w:spacing w:val="-2"/>
        </w:rPr>
        <w:t>20 世纪 70 年代，激光冷却技术刚刚起步，为原子操控带来了新</w:t>
      </w:r>
      <w:r>
        <w:rPr>
          <w:spacing w:val="-3"/>
        </w:rPr>
        <w:t>契机。科学家们开始尝</w:t>
      </w:r>
      <w:r>
        <w:t>试利用激光冷却原子，探索基于冷原子的重力测量方法，</w:t>
      </w:r>
      <w:r>
        <w:rPr>
          <w:spacing w:val="-1"/>
        </w:rPr>
        <w:t>不过早期实验受技术限制，仅能初步验证理论可行性，测量精度很低。</w:t>
      </w:r>
    </w:p>
    <w:p w14:paraId="1BACFE71">
      <w:pPr>
        <w:pStyle w:val="2"/>
        <w:ind w:left="2" w:firstLine="487"/>
        <w:jc w:val="both"/>
      </w:pPr>
      <w:r>
        <w:rPr>
          <w:spacing w:val="1"/>
        </w:rPr>
        <w:t>到</w:t>
      </w:r>
      <w:r>
        <w:rPr>
          <w:spacing w:val="-49"/>
        </w:rPr>
        <w:t xml:space="preserve"> </w:t>
      </w:r>
      <w:r>
        <w:rPr>
          <w:spacing w:val="1"/>
        </w:rPr>
        <w:t>20</w:t>
      </w:r>
      <w:r>
        <w:rPr>
          <w:spacing w:val="-43"/>
        </w:rPr>
        <w:t xml:space="preserve"> </w:t>
      </w:r>
      <w:r>
        <w:rPr>
          <w:spacing w:val="1"/>
        </w:rPr>
        <w:t>世纪80 年代，激光冷却与囚禁技术取得重要进展，原子能够被冷却到更低温度，</w:t>
      </w:r>
      <w:r>
        <w:rPr>
          <w:spacing w:val="-4"/>
        </w:rPr>
        <w:t>囚禁稳定性显著提升，使得冷原子重力仪的研究向前迈进。科研团队可以开展更系统的实验，</w:t>
      </w:r>
      <w:r>
        <w:t>初步构建出冷原子重力仪原型机，虽然其性能与实用</w:t>
      </w:r>
      <w:r>
        <w:rPr>
          <w:spacing w:val="-1"/>
        </w:rPr>
        <w:t>化还有较大差距，但已展现出冷原子用</w:t>
      </w:r>
      <w:r>
        <w:rPr>
          <w:spacing w:val="-2"/>
        </w:rPr>
        <w:t>于重力测量的潜力。</w:t>
      </w:r>
    </w:p>
    <w:p w14:paraId="6951FD42">
      <w:pPr>
        <w:pStyle w:val="2"/>
        <w:spacing w:before="5" w:line="239" w:lineRule="auto"/>
        <w:ind w:left="3" w:right="65" w:firstLine="474"/>
        <w:jc w:val="both"/>
      </w:pPr>
      <w:r>
        <w:rPr>
          <w:spacing w:val="1"/>
        </w:rPr>
        <w:t>20</w:t>
      </w:r>
      <w:r>
        <w:rPr>
          <w:spacing w:val="-42"/>
        </w:rPr>
        <w:t xml:space="preserve"> </w:t>
      </w:r>
      <w:r>
        <w:rPr>
          <w:spacing w:val="1"/>
        </w:rPr>
        <w:t>世纪90</w:t>
      </w:r>
      <w:r>
        <w:rPr>
          <w:spacing w:val="-39"/>
        </w:rPr>
        <w:t xml:space="preserve"> </w:t>
      </w:r>
      <w:r>
        <w:rPr>
          <w:spacing w:val="1"/>
        </w:rPr>
        <w:t>年代至21</w:t>
      </w:r>
      <w:r>
        <w:rPr>
          <w:spacing w:val="-42"/>
        </w:rPr>
        <w:t xml:space="preserve"> </w:t>
      </w:r>
      <w:r>
        <w:rPr>
          <w:spacing w:val="1"/>
        </w:rPr>
        <w:t>世纪初，超冷原子技术、精密光学操控技</w:t>
      </w:r>
      <w:r>
        <w:t>术以及量子调控技术协同发展，为冷原子重力仪的快速进步奠定了坚实基础</w:t>
      </w:r>
      <w:r>
        <w:rPr>
          <w:spacing w:val="-1"/>
        </w:rPr>
        <w:t>。研究人员不断优化仪器设计，从提升激</w:t>
      </w:r>
      <w:r>
        <w:t>光操控精度、改进原子囚禁结构等多方面入手，使</w:t>
      </w:r>
      <w:r>
        <w:rPr>
          <w:spacing w:val="-1"/>
        </w:rPr>
        <w:t>得测量精度大幅提高，应用范围也逐渐拓展到地球物理勘探、惯性导航等领域。</w:t>
      </w:r>
    </w:p>
    <w:p w14:paraId="0CA0BE09">
      <w:pPr>
        <w:pStyle w:val="2"/>
        <w:spacing w:before="5" w:line="239" w:lineRule="auto"/>
        <w:ind w:left="6" w:right="103" w:firstLine="476"/>
        <w:jc w:val="both"/>
      </w:pPr>
      <w:r>
        <w:t>近年来，冷原子重力仪不断朝着小型化、集成化</w:t>
      </w:r>
      <w:r>
        <w:rPr>
          <w:spacing w:val="-1"/>
        </w:rPr>
        <w:t>方向发展，与多学科深度融合。科研人</w:t>
      </w:r>
      <w:r>
        <w:t>员致力于精简实验装置，探索在微纳尺度下</w:t>
      </w:r>
      <w:r>
        <w:rPr>
          <w:spacing w:val="-1"/>
        </w:rPr>
        <w:t>将量子结构与传统电子、光学元件集成的方法，</w:t>
      </w:r>
      <w:r>
        <w:t>力求使冷原子重力仪走出实验室，拓展到更</w:t>
      </w:r>
      <w:r>
        <w:rPr>
          <w:spacing w:val="-1"/>
        </w:rPr>
        <w:t>多应用场景，在基础物理研究、航空航天、生物</w:t>
      </w:r>
      <w:r>
        <w:rPr>
          <w:spacing w:val="-2"/>
        </w:rPr>
        <w:t>医疗等领域都展现出潜在应用价值。</w:t>
      </w:r>
    </w:p>
    <w:p w14:paraId="0F6A2C5C">
      <w:pPr>
        <w:spacing w:line="325" w:lineRule="auto"/>
        <w:rPr>
          <w:rFonts w:ascii="Arial"/>
          <w:sz w:val="21"/>
        </w:rPr>
      </w:pPr>
    </w:p>
    <w:p w14:paraId="42BC79C5">
      <w:pPr>
        <w:spacing w:line="325" w:lineRule="auto"/>
        <w:rPr>
          <w:rFonts w:ascii="Arial"/>
          <w:sz w:val="21"/>
        </w:rPr>
      </w:pPr>
    </w:p>
    <w:p w14:paraId="629663B6">
      <w:pPr>
        <w:pStyle w:val="2"/>
        <w:spacing w:before="97" w:line="222" w:lineRule="auto"/>
        <w:ind w:left="15"/>
        <w:rPr>
          <w:sz w:val="30"/>
          <w:szCs w:val="30"/>
        </w:rPr>
      </w:pPr>
      <w:r>
        <w:rPr>
          <w:b/>
          <w:bCs/>
          <w:spacing w:val="-5"/>
          <w:sz w:val="30"/>
          <w:szCs w:val="30"/>
        </w:rPr>
        <w:t>三、冷原子重力仪的基本原理</w:t>
      </w:r>
    </w:p>
    <w:p w14:paraId="685FDA83">
      <w:pPr>
        <w:pStyle w:val="2"/>
        <w:spacing w:before="140"/>
        <w:ind w:left="2" w:right="103" w:firstLine="482"/>
        <w:jc w:val="both"/>
      </w:pPr>
      <w:r>
        <w:rPr>
          <w:spacing w:val="-1"/>
        </w:rPr>
        <w:t>冷原子重力仪是一种基于激光冷却和原子干涉技术的高精度重力测量仪器。其基本原理</w:t>
      </w:r>
      <w:r>
        <w:t>是利用光的波粒二象性，并外加磁场对铷原子进行冷</w:t>
      </w:r>
      <w:r>
        <w:rPr>
          <w:spacing w:val="-1"/>
        </w:rPr>
        <w:t>却囚禁，通过光的干涉与末态探测计算</w:t>
      </w:r>
      <w:r>
        <w:t>得到当地的重力加速度。其步骤主要包括冷原子团制</w:t>
      </w:r>
      <w:r>
        <w:rPr>
          <w:spacing w:val="-1"/>
        </w:rPr>
        <w:t>备、量子态纯化、原子干涉、归一化态</w:t>
      </w:r>
      <w:r>
        <w:rPr>
          <w:spacing w:val="-7"/>
        </w:rPr>
        <w:t>探测，如图</w:t>
      </w:r>
      <w:r>
        <w:rPr>
          <w:spacing w:val="-31"/>
        </w:rPr>
        <w:t xml:space="preserve"> </w:t>
      </w:r>
      <w:r>
        <w:rPr>
          <w:spacing w:val="-7"/>
        </w:rPr>
        <w:t>1</w:t>
      </w:r>
      <w:r>
        <w:rPr>
          <w:spacing w:val="-43"/>
        </w:rPr>
        <w:t xml:space="preserve"> </w:t>
      </w:r>
      <w:r>
        <w:rPr>
          <w:spacing w:val="-7"/>
        </w:rPr>
        <w:t>所示。</w:t>
      </w:r>
    </w:p>
    <w:p w14:paraId="4EA098D7">
      <w:pPr>
        <w:spacing w:line="351" w:lineRule="auto"/>
        <w:rPr>
          <w:rFonts w:ascii="Arial"/>
          <w:sz w:val="21"/>
        </w:rPr>
      </w:pPr>
    </w:p>
    <w:p w14:paraId="280FC602">
      <w:pPr>
        <w:pStyle w:val="2"/>
        <w:spacing w:before="91" w:line="222" w:lineRule="auto"/>
        <w:ind w:left="2"/>
        <w:rPr>
          <w:sz w:val="28"/>
          <w:szCs w:val="28"/>
        </w:rPr>
      </w:pPr>
      <w:r>
        <w:rPr>
          <w:b/>
          <w:bCs/>
          <w:spacing w:val="-6"/>
          <w:sz w:val="28"/>
          <w:szCs w:val="28"/>
        </w:rPr>
        <w:t>3.1</w:t>
      </w:r>
      <w:r>
        <w:rPr>
          <w:spacing w:val="-44"/>
          <w:sz w:val="28"/>
          <w:szCs w:val="28"/>
        </w:rPr>
        <w:t xml:space="preserve"> </w:t>
      </w:r>
      <w:r>
        <w:rPr>
          <w:b/>
          <w:bCs/>
          <w:spacing w:val="-6"/>
          <w:sz w:val="28"/>
          <w:szCs w:val="28"/>
        </w:rPr>
        <w:t>冷原子团的制备</w:t>
      </w:r>
    </w:p>
    <w:p w14:paraId="4096FE99">
      <w:pPr>
        <w:pStyle w:val="2"/>
        <w:spacing w:before="151" w:line="241" w:lineRule="auto"/>
        <w:ind w:left="8" w:right="65" w:firstLine="474"/>
        <w:jc w:val="both"/>
      </w:pPr>
      <w:r>
        <w:t>磁光阱（Magneto-Optical</w:t>
      </w:r>
      <w:r>
        <w:rPr>
          <w:spacing w:val="-35"/>
        </w:rPr>
        <w:t xml:space="preserve"> </w:t>
      </w:r>
      <w:r>
        <w:t>Trap,</w:t>
      </w:r>
      <w:r>
        <w:rPr>
          <w:spacing w:val="-40"/>
        </w:rPr>
        <w:t xml:space="preserve"> </w:t>
      </w:r>
      <w:r>
        <w:t>M</w:t>
      </w:r>
      <w:r>
        <w:rPr>
          <w:spacing w:val="-1"/>
        </w:rPr>
        <w:t>OT）是一种用于囚禁和冷却中性原子的有效手段。它由三对两两相互垂直、具有特定偏振组态且负失谐的对射激光束形成的三维空间驻波场和反亥姆霍兹线圈产生的梯度磁场构成。磁场的零点与光场的中心重合，负失谐的激光对原子产</w:t>
      </w:r>
    </w:p>
    <w:p w14:paraId="05EF5A95">
      <w:pPr>
        <w:spacing w:line="241" w:lineRule="auto"/>
        <w:sectPr>
          <w:pgSz w:w="11906" w:h="16839"/>
          <w:pgMar w:top="1234" w:right="1069" w:bottom="0" w:left="1145" w:header="0" w:footer="0" w:gutter="0"/>
          <w:cols w:space="720" w:num="1"/>
        </w:sectPr>
      </w:pPr>
    </w:p>
    <w:p w14:paraId="639E9E6F">
      <w:pPr>
        <w:pStyle w:val="2"/>
        <w:spacing w:before="48"/>
        <w:ind w:right="137" w:firstLine="14"/>
      </w:pPr>
      <w:r>
        <w:rPr>
          <w:spacing w:val="-1"/>
        </w:rPr>
        <w:t>生阻尼力，梯度磁场与激光的偏振相结合产生了对原子的束缚力，从而在空间中对中性原子</w:t>
      </w:r>
      <w:r>
        <w:rPr>
          <w:spacing w:val="1"/>
        </w:rPr>
        <w:t>构成了一个带阻尼作用的简谐势阱。磁光阱结构如图2</w:t>
      </w:r>
      <w:r>
        <w:rPr>
          <w:spacing w:val="-44"/>
        </w:rPr>
        <w:t xml:space="preserve"> </w:t>
      </w:r>
      <w:r>
        <w:rPr>
          <w:spacing w:val="1"/>
        </w:rPr>
        <w:t>所示。</w:t>
      </w:r>
    </w:p>
    <w:p w14:paraId="5CEBA291">
      <w:pPr>
        <w:spacing w:before="27" w:line="4232" w:lineRule="exact"/>
        <w:ind w:firstLine="467"/>
      </w:pPr>
      <w:r>
        <w:drawing>
          <wp:anchor distT="0" distB="0" distL="0" distR="0" simplePos="0" relativeHeight="251659264" behindDoc="0" locked="0" layoutInCell="1" allowOverlap="1">
            <wp:simplePos x="0" y="0"/>
            <wp:positionH relativeFrom="column">
              <wp:posOffset>3748405</wp:posOffset>
            </wp:positionH>
            <wp:positionV relativeFrom="paragraph">
              <wp:posOffset>889000</wp:posOffset>
            </wp:positionV>
            <wp:extent cx="2115185" cy="16002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2115311" cy="1600200"/>
                    </a:xfrm>
                    <a:prstGeom prst="rect">
                      <a:avLst/>
                    </a:prstGeom>
                  </pic:spPr>
                </pic:pic>
              </a:graphicData>
            </a:graphic>
          </wp:anchor>
        </w:drawing>
      </w:r>
      <w:r>
        <w:rPr>
          <w:position w:val="-84"/>
        </w:rPr>
        <w:drawing>
          <wp:inline distT="0" distB="0" distL="0" distR="0">
            <wp:extent cx="2432050" cy="268668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
                    <a:stretch>
                      <a:fillRect/>
                    </a:stretch>
                  </pic:blipFill>
                  <pic:spPr>
                    <a:xfrm>
                      <a:off x="0" y="0"/>
                      <a:ext cx="2432304" cy="2686811"/>
                    </a:xfrm>
                    <a:prstGeom prst="rect">
                      <a:avLst/>
                    </a:prstGeom>
                  </pic:spPr>
                </pic:pic>
              </a:graphicData>
            </a:graphic>
          </wp:inline>
        </w:drawing>
      </w:r>
    </w:p>
    <w:p w14:paraId="7203E689">
      <w:pPr>
        <w:pStyle w:val="2"/>
        <w:spacing w:before="123" w:line="230" w:lineRule="auto"/>
        <w:ind w:left="1356"/>
        <w:rPr>
          <w:sz w:val="20"/>
          <w:szCs w:val="20"/>
        </w:rPr>
      </w:pPr>
      <w:r>
        <w:rPr>
          <w:spacing w:val="4"/>
          <w:sz w:val="20"/>
          <w:szCs w:val="20"/>
        </w:rPr>
        <w:t>[1]图</w:t>
      </w:r>
      <w:r>
        <w:rPr>
          <w:spacing w:val="-21"/>
          <w:sz w:val="20"/>
          <w:szCs w:val="20"/>
        </w:rPr>
        <w:t xml:space="preserve"> </w:t>
      </w:r>
      <w:r>
        <w:rPr>
          <w:spacing w:val="4"/>
          <w:sz w:val="20"/>
          <w:szCs w:val="20"/>
        </w:rPr>
        <w:t>1 冷原子重力仪原理图                      [2]图</w:t>
      </w:r>
      <w:r>
        <w:rPr>
          <w:spacing w:val="-32"/>
          <w:sz w:val="20"/>
          <w:szCs w:val="20"/>
        </w:rPr>
        <w:t xml:space="preserve"> </w:t>
      </w:r>
      <w:r>
        <w:rPr>
          <w:spacing w:val="4"/>
          <w:sz w:val="20"/>
          <w:szCs w:val="20"/>
        </w:rPr>
        <w:t>2 磁光阱结构示意图</w:t>
      </w:r>
    </w:p>
    <w:p w14:paraId="02CC7409">
      <w:pPr>
        <w:spacing w:line="280" w:lineRule="auto"/>
        <w:rPr>
          <w:rFonts w:ascii="Arial"/>
          <w:sz w:val="21"/>
        </w:rPr>
      </w:pPr>
    </w:p>
    <w:p w14:paraId="47BF7B4C">
      <w:pPr>
        <w:pStyle w:val="2"/>
        <w:spacing w:before="78" w:line="237" w:lineRule="auto"/>
        <w:ind w:right="137" w:firstLine="1"/>
        <w:jc w:val="both"/>
      </w:pPr>
      <w:r>
        <w:t>在冷原子重力仪中，首先利用二维磁光阱（2D-MO</w:t>
      </w:r>
      <w:r>
        <w:rPr>
          <w:spacing w:val="-1"/>
        </w:rPr>
        <w:t>T）制备一束扁平的冷原子团（通常使用碱</w:t>
      </w:r>
      <w:r>
        <w:t>金属铷原子）。再通过水平方向的推送光将这团冷原子束输</w:t>
      </w:r>
      <w:r>
        <w:rPr>
          <w:spacing w:val="-1"/>
        </w:rPr>
        <w:t>送到三维磁光阱（3D-MOT）中，</w:t>
      </w:r>
      <w:r>
        <w:rPr>
          <w:spacing w:val="2"/>
        </w:rPr>
        <w:t xml:space="preserve">进一步冷却原子团的温度至约6 </w:t>
      </w:r>
      <w:r>
        <w:rPr>
          <w:rFonts w:ascii="Arial" w:hAnsi="Arial" w:eastAsia="Arial" w:cs="Arial"/>
          <w:spacing w:val="2"/>
        </w:rPr>
        <w:t>µ</w:t>
      </w:r>
      <w:r>
        <w:rPr>
          <w:spacing w:val="2"/>
        </w:rPr>
        <w:t>K。</w:t>
      </w:r>
    </w:p>
    <w:p w14:paraId="254AA5BA">
      <w:pPr>
        <w:spacing w:line="365" w:lineRule="auto"/>
        <w:rPr>
          <w:rFonts w:ascii="Arial"/>
          <w:sz w:val="21"/>
        </w:rPr>
      </w:pPr>
    </w:p>
    <w:p w14:paraId="7587080B">
      <w:pPr>
        <w:pStyle w:val="2"/>
        <w:spacing w:before="91" w:line="223" w:lineRule="auto"/>
        <w:rPr>
          <w:sz w:val="28"/>
          <w:szCs w:val="28"/>
        </w:rPr>
      </w:pPr>
      <w:r>
        <w:rPr>
          <w:b/>
          <w:bCs/>
          <w:spacing w:val="-7"/>
          <w:sz w:val="28"/>
          <w:szCs w:val="28"/>
        </w:rPr>
        <w:t>3.2</w:t>
      </w:r>
      <w:r>
        <w:rPr>
          <w:spacing w:val="-46"/>
          <w:sz w:val="28"/>
          <w:szCs w:val="28"/>
        </w:rPr>
        <w:t xml:space="preserve"> </w:t>
      </w:r>
      <w:r>
        <w:rPr>
          <w:b/>
          <w:bCs/>
          <w:spacing w:val="-7"/>
          <w:sz w:val="28"/>
          <w:szCs w:val="28"/>
        </w:rPr>
        <w:t>量子态纯化</w:t>
      </w:r>
    </w:p>
    <w:p w14:paraId="0A458A04">
      <w:pPr>
        <w:pStyle w:val="2"/>
        <w:spacing w:before="149" w:line="177" w:lineRule="auto"/>
        <w:ind w:firstLine="483"/>
        <w:jc w:val="both"/>
      </w:pPr>
      <w:r>
        <w:t>量子态纯化是指将一个复合系统的量子态纯化为一个整体的纯态。布洛赫球面（</w:t>
      </w:r>
      <w:r>
        <w:rPr>
          <w:spacing w:val="-1"/>
        </w:rPr>
        <w:t>如图3）</w:t>
      </w:r>
      <w:r>
        <w:t>可以作量子态纯化的几何表示，纯态由球面上的点表</w:t>
      </w:r>
      <w:r>
        <w:rPr>
          <w:spacing w:val="-1"/>
        </w:rPr>
        <w:t>示，混合态由内点表示。一个量子态的</w:t>
      </w:r>
      <w:r>
        <w:rPr>
          <w:spacing w:val="-2"/>
          <w:position w:val="2"/>
        </w:rPr>
        <w:t>纯度可以被看作是它</w:t>
      </w:r>
      <w:r>
        <w:rPr>
          <w:spacing w:val="-2"/>
          <w:position w:val="-29"/>
        </w:rPr>
        <w:t>~</w:t>
      </w:r>
      <w:r>
        <w:rPr>
          <w:spacing w:val="-2"/>
          <w:position w:val="2"/>
        </w:rPr>
        <w:t>接近球体表面的程度。具体公式为：</w:t>
      </w:r>
      <w:r>
        <w:rPr>
          <w:rFonts w:ascii="微软雅黑" w:hAnsi="微软雅黑" w:eastAsia="微软雅黑" w:cs="微软雅黑"/>
          <w:color w:val="909090"/>
          <w:spacing w:val="-2"/>
          <w:position w:val="-2"/>
        </w:rPr>
        <w:t>纯度=TX(</w:t>
      </w:r>
      <w:r>
        <w:rPr>
          <w:rFonts w:ascii="微软雅黑" w:hAnsi="微软雅黑" w:eastAsia="微软雅黑" w:cs="微软雅黑"/>
          <w:color w:val="909090"/>
          <w:spacing w:val="-3"/>
          <w:position w:val="-2"/>
        </w:rPr>
        <w:t>p")</w:t>
      </w:r>
      <w:r>
        <w:rPr>
          <w:rFonts w:ascii="微软雅黑" w:hAnsi="微软雅黑" w:eastAsia="微软雅黑" w:cs="微软雅黑"/>
          <w:color w:val="909090"/>
          <w:spacing w:val="49"/>
          <w:position w:val="-2"/>
        </w:rPr>
        <w:t xml:space="preserve"> </w:t>
      </w:r>
      <w:r>
        <w:rPr>
          <w:spacing w:val="-3"/>
          <w:position w:val="2"/>
        </w:rPr>
        <w:t>，其中</w:t>
      </w:r>
      <w:r>
        <w:rPr>
          <w:position w:val="-11"/>
        </w:rPr>
        <w:drawing>
          <wp:inline distT="0" distB="0" distL="0" distR="0">
            <wp:extent cx="120015" cy="19494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120408" cy="195072"/>
                    </a:xfrm>
                    <a:prstGeom prst="rect">
                      <a:avLst/>
                    </a:prstGeom>
                  </pic:spPr>
                </pic:pic>
              </a:graphicData>
            </a:graphic>
          </wp:inline>
        </w:drawing>
      </w:r>
      <w:r>
        <w:rPr>
          <w:spacing w:val="-3"/>
          <w:position w:val="2"/>
        </w:rPr>
        <w:t>是量子态密</w:t>
      </w:r>
      <w:r>
        <w:rPr>
          <w:spacing w:val="-4"/>
        </w:rPr>
        <w:t>度矩阵，纯度在</w:t>
      </w:r>
      <w:r>
        <w:rPr>
          <w:spacing w:val="-17"/>
        </w:rPr>
        <w:t xml:space="preserve"> </w:t>
      </w:r>
      <w:r>
        <w:rPr>
          <w:spacing w:val="-4"/>
        </w:rPr>
        <w:t>1/d 1</w:t>
      </w:r>
      <w:r>
        <w:rPr>
          <w:spacing w:val="-41"/>
        </w:rPr>
        <w:t xml:space="preserve"> </w:t>
      </w:r>
      <w:r>
        <w:rPr>
          <w:spacing w:val="-4"/>
        </w:rPr>
        <w:t>之间，d</w:t>
      </w:r>
      <w:r>
        <w:rPr>
          <w:spacing w:val="-35"/>
        </w:rPr>
        <w:t xml:space="preserve"> </w:t>
      </w:r>
      <w:r>
        <w:rPr>
          <w:spacing w:val="-4"/>
        </w:rPr>
        <w:t>为希尔伯特空间维数。</w:t>
      </w:r>
    </w:p>
    <w:p w14:paraId="55F43854">
      <w:pPr>
        <w:spacing w:before="131" w:line="2825" w:lineRule="exact"/>
        <w:ind w:firstLine="3335"/>
      </w:pPr>
      <w:r>
        <w:rPr>
          <w:position w:val="-56"/>
        </w:rPr>
        <w:drawing>
          <wp:inline distT="0" distB="0" distL="0" distR="0">
            <wp:extent cx="1845945" cy="179324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0"/>
                    <a:stretch>
                      <a:fillRect/>
                    </a:stretch>
                  </pic:blipFill>
                  <pic:spPr>
                    <a:xfrm>
                      <a:off x="0" y="0"/>
                      <a:ext cx="1846465" cy="1793747"/>
                    </a:xfrm>
                    <a:prstGeom prst="rect">
                      <a:avLst/>
                    </a:prstGeom>
                  </pic:spPr>
                </pic:pic>
              </a:graphicData>
            </a:graphic>
          </wp:inline>
        </w:drawing>
      </w:r>
    </w:p>
    <w:p w14:paraId="19F88DE2">
      <w:pPr>
        <w:pStyle w:val="2"/>
        <w:spacing w:before="205" w:line="229" w:lineRule="auto"/>
        <w:ind w:left="3924"/>
        <w:rPr>
          <w:sz w:val="20"/>
          <w:szCs w:val="20"/>
        </w:rPr>
      </w:pPr>
      <w:r>
        <w:rPr>
          <w:spacing w:val="1"/>
          <w:sz w:val="20"/>
          <w:szCs w:val="20"/>
        </w:rPr>
        <w:t>[3]图</w:t>
      </w:r>
      <w:r>
        <w:rPr>
          <w:spacing w:val="-35"/>
          <w:sz w:val="20"/>
          <w:szCs w:val="20"/>
        </w:rPr>
        <w:t xml:space="preserve"> </w:t>
      </w:r>
      <w:r>
        <w:rPr>
          <w:spacing w:val="1"/>
          <w:sz w:val="20"/>
          <w:szCs w:val="20"/>
        </w:rPr>
        <w:t>3</w:t>
      </w:r>
      <w:r>
        <w:rPr>
          <w:spacing w:val="20"/>
          <w:sz w:val="20"/>
          <w:szCs w:val="20"/>
        </w:rPr>
        <w:t xml:space="preserve"> </w:t>
      </w:r>
      <w:r>
        <w:rPr>
          <w:spacing w:val="1"/>
          <w:sz w:val="20"/>
          <w:szCs w:val="20"/>
        </w:rPr>
        <w:t>布洛赫球面</w:t>
      </w:r>
    </w:p>
    <w:p w14:paraId="36E7A366">
      <w:pPr>
        <w:pStyle w:val="2"/>
        <w:spacing w:before="48"/>
        <w:ind w:left="7" w:right="16" w:firstLine="476"/>
      </w:pPr>
      <w:r>
        <w:rPr>
          <w:spacing w:val="-4"/>
        </w:rPr>
        <w:t>冷原子重力仪中，量子态纯化是一个关键步骤，用于将原子制备到对磁场不敏感的纯态。</w:t>
      </w:r>
      <w:r>
        <w:rPr>
          <w:spacing w:val="-1"/>
        </w:rPr>
        <w:t>关闭磁光阱中的磁场和激光场，使铷原子黏团在重力场中自由下落。选择竖直方向的磁场作</w:t>
      </w:r>
    </w:p>
    <w:p w14:paraId="0B1ED880">
      <w:pPr>
        <w:pStyle w:val="2"/>
        <w:spacing w:before="203" w:line="175" w:lineRule="auto"/>
        <w:ind w:left="9"/>
      </w:pPr>
      <w:r>
        <w:rPr>
          <w:spacing w:val="-2"/>
        </w:rPr>
        <w:t>为量子化轴，使得原子的磁量子数</w:t>
      </w:r>
      <w:r>
        <w:rPr>
          <w:rFonts w:ascii="Times New Roman" w:hAnsi="Times New Roman" w:eastAsia="Times New Roman" w:cs="Times New Roman"/>
          <w:spacing w:val="-2"/>
          <w:position w:val="9"/>
          <w:sz w:val="23"/>
          <w:szCs w:val="23"/>
        </w:rPr>
        <w:t>m</w:t>
      </w:r>
      <w:r>
        <w:rPr>
          <w:rFonts w:ascii="Times New Roman" w:hAnsi="Times New Roman" w:eastAsia="Times New Roman" w:cs="Times New Roman"/>
          <w:i/>
          <w:iCs/>
          <w:spacing w:val="-2"/>
          <w:position w:val="3"/>
          <w:sz w:val="13"/>
          <w:szCs w:val="13"/>
        </w:rPr>
        <w:t xml:space="preserve">F  </w:t>
      </w:r>
      <w:r>
        <w:rPr>
          <w:spacing w:val="-2"/>
        </w:rPr>
        <w:t>在该方向上量子化。再使用微波和拉曼选态π脉冲将原</w:t>
      </w:r>
    </w:p>
    <w:p w14:paraId="56DED4B4">
      <w:pPr>
        <w:spacing w:line="175" w:lineRule="auto"/>
        <w:sectPr>
          <w:pgSz w:w="11906" w:h="16839"/>
          <w:pgMar w:top="1120" w:right="1035" w:bottom="0" w:left="1147" w:header="0" w:footer="0" w:gutter="0"/>
          <w:cols w:space="720" w:num="1"/>
        </w:sectPr>
      </w:pPr>
    </w:p>
    <w:p w14:paraId="167D07CF">
      <w:pPr>
        <w:pStyle w:val="2"/>
        <w:spacing w:before="69" w:line="251" w:lineRule="auto"/>
        <w:ind w:left="14" w:right="103" w:hanging="3"/>
      </w:pPr>
      <w:r>
        <w:rPr>
          <w:spacing w:val="-2"/>
        </w:rPr>
        <w:t>子制备到对磁场不敏感的纯态</w:t>
      </w:r>
      <w:r>
        <w:rPr>
          <w:position w:val="-5"/>
        </w:rPr>
        <w:drawing>
          <wp:inline distT="0" distB="0" distL="0" distR="0">
            <wp:extent cx="1090930" cy="21780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1"/>
                    <a:stretch>
                      <a:fillRect/>
                    </a:stretch>
                  </pic:blipFill>
                  <pic:spPr>
                    <a:xfrm>
                      <a:off x="0" y="0"/>
                      <a:ext cx="1091184" cy="217931"/>
                    </a:xfrm>
                    <a:prstGeom prst="rect">
                      <a:avLst/>
                    </a:prstGeom>
                  </pic:spPr>
                </pic:pic>
              </a:graphicData>
            </a:graphic>
          </wp:inline>
        </w:drawing>
      </w:r>
      <w:r>
        <w:rPr>
          <w:spacing w:val="-2"/>
        </w:rPr>
        <w:t>。最后通过共振光选择性地激发、移除不需要</w:t>
      </w:r>
      <w:r>
        <w:rPr>
          <w:spacing w:val="-3"/>
        </w:rPr>
        <w:t>的原子态，提高纯度。</w:t>
      </w:r>
    </w:p>
    <w:p w14:paraId="2EDEDBCA">
      <w:pPr>
        <w:spacing w:line="353" w:lineRule="auto"/>
        <w:rPr>
          <w:rFonts w:ascii="Arial"/>
          <w:sz w:val="21"/>
        </w:rPr>
      </w:pPr>
    </w:p>
    <w:p w14:paraId="2C2C8FB3">
      <w:pPr>
        <w:pStyle w:val="2"/>
        <w:spacing w:before="91" w:line="223" w:lineRule="auto"/>
        <w:outlineLvl w:val="0"/>
        <w:rPr>
          <w:sz w:val="28"/>
          <w:szCs w:val="28"/>
        </w:rPr>
      </w:pPr>
      <w:r>
        <w:rPr>
          <w:b/>
          <w:bCs/>
          <w:spacing w:val="-5"/>
          <w:sz w:val="28"/>
          <w:szCs w:val="28"/>
        </w:rPr>
        <w:t>3.3</w:t>
      </w:r>
      <w:r>
        <w:rPr>
          <w:spacing w:val="-45"/>
          <w:sz w:val="28"/>
          <w:szCs w:val="28"/>
        </w:rPr>
        <w:t xml:space="preserve"> </w:t>
      </w:r>
      <w:r>
        <w:rPr>
          <w:b/>
          <w:bCs/>
          <w:spacing w:val="-5"/>
          <w:sz w:val="28"/>
          <w:szCs w:val="28"/>
        </w:rPr>
        <w:t>原子干涉与归一化探测</w:t>
      </w:r>
    </w:p>
    <w:p w14:paraId="0BFDE0EE">
      <w:pPr>
        <w:pStyle w:val="2"/>
        <w:spacing w:before="149"/>
        <w:ind w:firstLine="479"/>
      </w:pPr>
      <w:r>
        <w:rPr>
          <w:spacing w:val="-6"/>
        </w:rPr>
        <w:t>利用三束多普勒敏感的拉曼脉冲</w:t>
      </w:r>
      <w:r>
        <w:rPr>
          <w:spacing w:val="-15"/>
        </w:rPr>
        <w:t xml:space="preserve"> </w:t>
      </w:r>
      <w:r>
        <w:rPr>
          <w:spacing w:val="-6"/>
        </w:rPr>
        <w:t>( π/2-π-π/2）实现原子物质波的分束、偏转和合束，</w:t>
      </w:r>
      <w:r>
        <w:rPr>
          <w:spacing w:val="-1"/>
        </w:rPr>
        <w:t>构成一个马赫-曾德尔干涉仪。拉曼π脉冲时间为</w:t>
      </w:r>
      <w:r>
        <w:rPr>
          <w:spacing w:val="-34"/>
        </w:rPr>
        <w:t xml:space="preserve"> </w:t>
      </w:r>
      <w:r>
        <w:rPr>
          <w:spacing w:val="-1"/>
        </w:rPr>
        <w:t xml:space="preserve">12 </w:t>
      </w:r>
      <w:r>
        <w:rPr>
          <w:rFonts w:ascii="Arial" w:hAnsi="Arial" w:eastAsia="Arial" w:cs="Arial"/>
          <w:spacing w:val="-1"/>
        </w:rPr>
        <w:t>µ</w:t>
      </w:r>
      <w:r>
        <w:rPr>
          <w:spacing w:val="-1"/>
        </w:rPr>
        <w:t>s，脉冲之间的时间间隔</w:t>
      </w:r>
      <w:r>
        <w:rPr>
          <w:spacing w:val="-55"/>
        </w:rPr>
        <w:t xml:space="preserve"> </w:t>
      </w:r>
      <w:r>
        <w:rPr>
          <w:spacing w:val="-1"/>
        </w:rPr>
        <w:t>T</w:t>
      </w:r>
      <w:r>
        <w:rPr>
          <w:spacing w:val="-35"/>
        </w:rPr>
        <w:t xml:space="preserve"> </w:t>
      </w:r>
      <w:r>
        <w:rPr>
          <w:spacing w:val="-1"/>
        </w:rPr>
        <w:t>为</w:t>
      </w:r>
      <w:r>
        <w:rPr>
          <w:spacing w:val="-50"/>
        </w:rPr>
        <w:t xml:space="preserve"> </w:t>
      </w:r>
      <w:r>
        <w:rPr>
          <w:spacing w:val="-1"/>
        </w:rPr>
        <w:t xml:space="preserve">60 </w:t>
      </w:r>
      <w:r>
        <w:rPr>
          <w:spacing w:val="-2"/>
        </w:rPr>
        <w:t>ms。</w:t>
      </w:r>
      <w:r>
        <w:rPr>
          <w:spacing w:val="-1"/>
        </w:rPr>
        <w:t>图</w:t>
      </w:r>
      <w:r>
        <w:rPr>
          <w:spacing w:val="-51"/>
        </w:rPr>
        <w:t xml:space="preserve"> </w:t>
      </w:r>
      <w:r>
        <w:rPr>
          <w:spacing w:val="-1"/>
        </w:rPr>
        <w:t>4</w:t>
      </w:r>
      <w:r>
        <w:rPr>
          <w:spacing w:val="-36"/>
        </w:rPr>
        <w:t xml:space="preserve"> </w:t>
      </w:r>
      <w:r>
        <w:rPr>
          <w:spacing w:val="-1"/>
        </w:rPr>
        <w:t>为典型的T=60ms</w:t>
      </w:r>
      <w:r>
        <w:rPr>
          <w:spacing w:val="-30"/>
        </w:rPr>
        <w:t xml:space="preserve"> </w:t>
      </w:r>
      <w:r>
        <w:rPr>
          <w:spacing w:val="-1"/>
        </w:rPr>
        <w:t>的原子干涉条纹。</w:t>
      </w:r>
    </w:p>
    <w:p w14:paraId="34F9A046">
      <w:pPr>
        <w:spacing w:before="77" w:line="3518" w:lineRule="exact"/>
        <w:ind w:firstLine="2236"/>
      </w:pPr>
      <w:r>
        <w:rPr>
          <w:position w:val="-70"/>
        </w:rPr>
        <w:drawing>
          <wp:inline distT="0" distB="0" distL="0" distR="0">
            <wp:extent cx="3255010" cy="223393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2"/>
                    <a:stretch>
                      <a:fillRect/>
                    </a:stretch>
                  </pic:blipFill>
                  <pic:spPr>
                    <a:xfrm>
                      <a:off x="0" y="0"/>
                      <a:ext cx="3255263" cy="2234183"/>
                    </a:xfrm>
                    <a:prstGeom prst="rect">
                      <a:avLst/>
                    </a:prstGeom>
                  </pic:spPr>
                </pic:pic>
              </a:graphicData>
            </a:graphic>
          </wp:inline>
        </w:drawing>
      </w:r>
    </w:p>
    <w:p w14:paraId="1405FC6B">
      <w:pPr>
        <w:pStyle w:val="2"/>
        <w:spacing w:before="164" w:line="232" w:lineRule="auto"/>
        <w:ind w:left="3480"/>
        <w:rPr>
          <w:sz w:val="20"/>
          <w:szCs w:val="20"/>
        </w:rPr>
      </w:pPr>
      <w:r>
        <w:rPr>
          <w:spacing w:val="3"/>
          <w:sz w:val="20"/>
          <w:szCs w:val="20"/>
        </w:rPr>
        <w:t>[4]图</w:t>
      </w:r>
      <w:r>
        <w:rPr>
          <w:spacing w:val="-32"/>
          <w:sz w:val="20"/>
          <w:szCs w:val="20"/>
        </w:rPr>
        <w:t xml:space="preserve"> </w:t>
      </w:r>
      <w:r>
        <w:rPr>
          <w:spacing w:val="3"/>
          <w:sz w:val="20"/>
          <w:szCs w:val="20"/>
        </w:rPr>
        <w:t>4 T=60</w:t>
      </w:r>
      <w:r>
        <w:rPr>
          <w:sz w:val="20"/>
          <w:szCs w:val="20"/>
        </w:rPr>
        <w:t>ms</w:t>
      </w:r>
      <w:r>
        <w:rPr>
          <w:spacing w:val="-31"/>
          <w:sz w:val="20"/>
          <w:szCs w:val="20"/>
        </w:rPr>
        <w:t xml:space="preserve"> </w:t>
      </w:r>
      <w:r>
        <w:rPr>
          <w:spacing w:val="3"/>
          <w:sz w:val="20"/>
          <w:szCs w:val="20"/>
        </w:rPr>
        <w:t>原子干涉条纹</w:t>
      </w:r>
    </w:p>
    <w:p w14:paraId="754FC55B">
      <w:pPr>
        <w:spacing w:line="278" w:lineRule="auto"/>
        <w:rPr>
          <w:rFonts w:ascii="Arial"/>
          <w:sz w:val="21"/>
        </w:rPr>
      </w:pPr>
    </w:p>
    <w:p w14:paraId="2D591B21">
      <w:pPr>
        <w:pStyle w:val="2"/>
        <w:spacing w:before="79" w:line="216" w:lineRule="auto"/>
        <w:ind w:left="2" w:right="65" w:firstLine="364"/>
      </w:pPr>
      <w:r>
        <w:rPr>
          <w:spacing w:val="-3"/>
        </w:rPr>
        <w:t>最后一步为利用归一化探测系统收集原子荧光信号，实现原子布居数的归一化探测。原子</w:t>
      </w:r>
      <w:r>
        <w:rPr>
          <w:spacing w:val="5"/>
        </w:rPr>
        <w:t>末态布居数比例</w:t>
      </w:r>
      <w:r>
        <w:rPr>
          <w:spacing w:val="-53"/>
        </w:rPr>
        <w:t xml:space="preserve"> </w:t>
      </w:r>
      <w:r>
        <w:rPr>
          <w:spacing w:val="5"/>
        </w:rPr>
        <w:t>P</w:t>
      </w:r>
      <w:r>
        <w:rPr>
          <w:spacing w:val="-40"/>
        </w:rPr>
        <w:t xml:space="preserve"> </w:t>
      </w:r>
      <w:r>
        <w:rPr>
          <w:spacing w:val="5"/>
        </w:rPr>
        <w:t>可以表示为</w:t>
      </w:r>
      <w:r>
        <w:rPr>
          <w:rFonts w:ascii="Arial" w:hAnsi="Arial" w:eastAsia="Arial" w:cs="Arial"/>
          <w:color w:val="DCD2CD"/>
          <w:spacing w:val="5"/>
        </w:rPr>
        <w:t>P=R+</w:t>
      </w:r>
      <w:r>
        <w:rPr>
          <w:rFonts w:ascii="Arial" w:hAnsi="Arial" w:eastAsia="Arial" w:cs="Arial"/>
          <w:color w:val="DCD2CD"/>
        </w:rPr>
        <w:t>CC</w:t>
      </w:r>
      <w:r>
        <w:rPr>
          <w:rFonts w:ascii="Arial" w:hAnsi="Arial" w:eastAsia="Arial" w:cs="Arial"/>
          <w:color w:val="DCD2CD"/>
          <w:spacing w:val="-26"/>
        </w:rPr>
        <w:t xml:space="preserve"> </w:t>
      </w:r>
      <w:r>
        <w:rPr>
          <w:rFonts w:ascii="Arial" w:hAnsi="Arial" w:eastAsia="Arial" w:cs="Arial"/>
          <w:color w:val="DCD2CD"/>
        </w:rPr>
        <w:t>OS</w:t>
      </w:r>
      <w:r>
        <w:rPr>
          <w:rFonts w:ascii="Arial" w:hAnsi="Arial" w:eastAsia="Arial" w:cs="Arial"/>
          <w:color w:val="DCD2CD"/>
          <w:spacing w:val="5"/>
        </w:rPr>
        <w:t>(</w:t>
      </w:r>
      <w:r>
        <w:rPr>
          <w:rFonts w:ascii="Arial" w:hAnsi="Arial" w:eastAsia="Arial" w:cs="Arial"/>
          <w:color w:val="DCD2CD"/>
        </w:rPr>
        <w:t>AP</w:t>
      </w:r>
      <w:r>
        <w:rPr>
          <w:rFonts w:ascii="Arial" w:hAnsi="Arial" w:eastAsia="Arial" w:cs="Arial"/>
          <w:color w:val="DCD2CD"/>
          <w:spacing w:val="5"/>
        </w:rPr>
        <w:t>)</w:t>
      </w:r>
      <w:r>
        <w:rPr>
          <w:rFonts w:ascii="Arial" w:hAnsi="Arial" w:eastAsia="Arial" w:cs="Arial"/>
          <w:color w:val="DCD2CD"/>
          <w:spacing w:val="55"/>
        </w:rPr>
        <w:t xml:space="preserve"> </w:t>
      </w:r>
      <w:r>
        <w:rPr>
          <w:spacing w:val="5"/>
        </w:rPr>
        <w:t>，若不考虑重力梯度</w:t>
      </w:r>
      <w:r>
        <w:rPr>
          <w:spacing w:val="4"/>
        </w:rPr>
        <w:t>的影响，相移</w:t>
      </w:r>
      <w:r>
        <w:rPr>
          <w:position w:val="-9"/>
        </w:rPr>
        <w:drawing>
          <wp:inline distT="0" distB="0" distL="0" distR="0">
            <wp:extent cx="259080" cy="20955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3"/>
                    <a:stretch>
                      <a:fillRect/>
                    </a:stretch>
                  </pic:blipFill>
                  <pic:spPr>
                    <a:xfrm>
                      <a:off x="0" y="0"/>
                      <a:ext cx="259102" cy="209736"/>
                    </a:xfrm>
                    <a:prstGeom prst="rect">
                      <a:avLst/>
                    </a:prstGeom>
                  </pic:spPr>
                </pic:pic>
              </a:graphicData>
            </a:graphic>
          </wp:inline>
        </w:drawing>
      </w:r>
      <w:r>
        <w:rPr>
          <w:spacing w:val="-13"/>
        </w:rPr>
        <w:t xml:space="preserve"> </w:t>
      </w:r>
      <w:r>
        <w:rPr>
          <w:spacing w:val="4"/>
        </w:rPr>
        <w:t>的</w:t>
      </w:r>
    </w:p>
    <w:p w14:paraId="59813DCE">
      <w:pPr>
        <w:pStyle w:val="2"/>
        <w:ind w:left="2"/>
      </w:pPr>
      <w:r>
        <w:rPr>
          <w:spacing w:val="-4"/>
        </w:rPr>
        <w:t>表达式为</w:t>
      </w:r>
      <w:r>
        <w:rPr>
          <w:position w:val="-6"/>
        </w:rPr>
        <w:drawing>
          <wp:inline distT="0" distB="0" distL="0" distR="0">
            <wp:extent cx="1589405" cy="20701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4"/>
                    <a:stretch>
                      <a:fillRect/>
                    </a:stretch>
                  </pic:blipFill>
                  <pic:spPr>
                    <a:xfrm>
                      <a:off x="0" y="0"/>
                      <a:ext cx="1589531" cy="207264"/>
                    </a:xfrm>
                    <a:prstGeom prst="rect">
                      <a:avLst/>
                    </a:prstGeom>
                  </pic:spPr>
                </pic:pic>
              </a:graphicData>
            </a:graphic>
          </wp:inline>
        </w:drawing>
      </w:r>
      <w:r>
        <w:rPr>
          <w:spacing w:val="-4"/>
        </w:rPr>
        <w:t>。</w:t>
      </w:r>
    </w:p>
    <w:p w14:paraId="35BD57D6">
      <w:pPr>
        <w:pStyle w:val="2"/>
        <w:spacing w:before="66" w:line="340" w:lineRule="auto"/>
        <w:ind w:left="3" w:right="65" w:firstLine="359"/>
      </w:pPr>
      <w:r>
        <w:rPr>
          <w:spacing w:val="1"/>
        </w:rPr>
        <w:t>其中：</w:t>
      </w:r>
      <w:r>
        <w:rPr>
          <w:rFonts w:ascii="Times New Roman" w:hAnsi="Times New Roman" w:eastAsia="Times New Roman" w:cs="Times New Roman"/>
          <w:i/>
          <w:iCs/>
          <w:spacing w:val="1"/>
          <w:sz w:val="23"/>
          <w:szCs w:val="23"/>
        </w:rPr>
        <w:t>P</w:t>
      </w:r>
      <w:r>
        <w:rPr>
          <w:rFonts w:ascii="Times New Roman" w:hAnsi="Times New Roman" w:eastAsia="Times New Roman" w:cs="Times New Roman"/>
          <w:spacing w:val="1"/>
          <w:position w:val="-6"/>
          <w:sz w:val="13"/>
          <w:szCs w:val="13"/>
        </w:rPr>
        <w:t>0</w:t>
      </w:r>
      <w:r>
        <w:rPr>
          <w:rFonts w:ascii="Times New Roman" w:hAnsi="Times New Roman" w:eastAsia="Times New Roman" w:cs="Times New Roman"/>
          <w:spacing w:val="31"/>
          <w:w w:val="101"/>
          <w:position w:val="-6"/>
          <w:sz w:val="13"/>
          <w:szCs w:val="13"/>
        </w:rPr>
        <w:t xml:space="preserve"> </w:t>
      </w:r>
      <w:r>
        <w:rPr>
          <w:spacing w:val="1"/>
        </w:rPr>
        <w:t>为原子布居数的平均值；C</w:t>
      </w:r>
      <w:r>
        <w:rPr>
          <w:spacing w:val="-31"/>
        </w:rPr>
        <w:t xml:space="preserve"> </w:t>
      </w:r>
      <w:r>
        <w:rPr>
          <w:spacing w:val="1"/>
        </w:rPr>
        <w:t>为为干涉条纹的对比度；</w:t>
      </w:r>
      <w:r>
        <w:rPr>
          <w:spacing w:val="-80"/>
        </w:rPr>
        <w:t xml:space="preserve"> </w:t>
      </w:r>
      <w:r>
        <w:rPr>
          <w:rFonts w:ascii="宋体" w:hAnsi="宋体" w:eastAsia="宋体" w:cs="宋体"/>
          <w:spacing w:val="1"/>
          <w:position w:val="2"/>
          <w:sz w:val="23"/>
          <w:szCs w:val="23"/>
        </w:rPr>
        <w:t>△</w:t>
      </w:r>
      <w:r>
        <w:rPr>
          <w:rFonts w:ascii="Arial" w:hAnsi="Arial" w:eastAsia="Arial" w:cs="Arial"/>
          <w:i/>
          <w:iCs/>
          <w:spacing w:val="1"/>
          <w:position w:val="2"/>
          <w:sz w:val="25"/>
          <w:szCs w:val="25"/>
        </w:rPr>
        <w:t>φ</w:t>
      </w:r>
      <w:r>
        <w:rPr>
          <w:rFonts w:ascii="Arial" w:hAnsi="Arial" w:eastAsia="Arial" w:cs="Arial"/>
          <w:i/>
          <w:iCs/>
          <w:spacing w:val="-21"/>
          <w:position w:val="2"/>
          <w:sz w:val="25"/>
          <w:szCs w:val="25"/>
        </w:rPr>
        <w:t xml:space="preserve"> </w:t>
      </w:r>
      <w:r>
        <w:rPr>
          <w:spacing w:val="1"/>
          <w:position w:val="2"/>
        </w:rPr>
        <w:t>为干</w:t>
      </w:r>
      <w:r>
        <w:rPr>
          <w:position w:val="2"/>
        </w:rPr>
        <w:t>涉相位</w:t>
      </w:r>
      <w:r>
        <w:t>；</w:t>
      </w:r>
      <w:r>
        <w:rPr>
          <w:rFonts w:ascii="Times New Roman" w:hAnsi="Times New Roman" w:eastAsia="Times New Roman" w:cs="Times New Roman"/>
          <w:sz w:val="23"/>
          <w:szCs w:val="23"/>
        </w:rPr>
        <w:t>k</w:t>
      </w:r>
      <w:r>
        <w:rPr>
          <w:rFonts w:ascii="Times New Roman" w:hAnsi="Times New Roman" w:eastAsia="Times New Roman" w:cs="Times New Roman"/>
          <w:position w:val="-6"/>
          <w:sz w:val="13"/>
          <w:szCs w:val="13"/>
        </w:rPr>
        <w:t>eff</w:t>
      </w:r>
      <w:r>
        <w:rPr>
          <w:rFonts w:ascii="Times New Roman" w:hAnsi="Times New Roman" w:eastAsia="Times New Roman" w:cs="Times New Roman"/>
          <w:spacing w:val="11"/>
          <w:w w:val="102"/>
          <w:position w:val="-6"/>
          <w:sz w:val="13"/>
          <w:szCs w:val="13"/>
        </w:rPr>
        <w:t xml:space="preserve">  </w:t>
      </w:r>
      <w:r>
        <w:t>为拉</w:t>
      </w:r>
      <w:r>
        <w:rPr>
          <w:spacing w:val="-3"/>
        </w:rPr>
        <w:t>曼光有效波矢；g</w:t>
      </w:r>
      <w:r>
        <w:rPr>
          <w:spacing w:val="-18"/>
        </w:rPr>
        <w:t xml:space="preserve"> </w:t>
      </w:r>
      <w:r>
        <w:rPr>
          <w:spacing w:val="-3"/>
        </w:rPr>
        <w:t>为待测重力；</w:t>
      </w:r>
      <w:r>
        <w:rPr>
          <w:spacing w:val="-74"/>
        </w:rPr>
        <w:t xml:space="preserve"> </w:t>
      </w:r>
      <w:r>
        <w:rPr>
          <w:rFonts w:ascii="Arial" w:hAnsi="Arial" w:eastAsia="Arial" w:cs="Arial"/>
          <w:i/>
          <w:iCs/>
          <w:spacing w:val="-3"/>
          <w:position w:val="5"/>
          <w:sz w:val="25"/>
          <w:szCs w:val="25"/>
        </w:rPr>
        <w:t xml:space="preserve">α </w:t>
      </w:r>
      <w:r>
        <w:rPr>
          <w:spacing w:val="-3"/>
        </w:rPr>
        <w:t>为拉曼光啁啾率；T</w:t>
      </w:r>
      <w:r>
        <w:rPr>
          <w:spacing w:val="-35"/>
        </w:rPr>
        <w:t xml:space="preserve"> </w:t>
      </w:r>
      <w:r>
        <w:rPr>
          <w:spacing w:val="-3"/>
        </w:rPr>
        <w:t>为干涉自由演化时间。</w:t>
      </w:r>
    </w:p>
    <w:p w14:paraId="1CE8CD45">
      <w:pPr>
        <w:spacing w:line="277" w:lineRule="auto"/>
        <w:rPr>
          <w:rFonts w:ascii="Arial"/>
          <w:sz w:val="21"/>
        </w:rPr>
      </w:pPr>
    </w:p>
    <w:p w14:paraId="50D6A1C7">
      <w:pPr>
        <w:pStyle w:val="2"/>
        <w:spacing w:before="92" w:line="220" w:lineRule="auto"/>
        <w:rPr>
          <w:sz w:val="28"/>
          <w:szCs w:val="28"/>
        </w:rPr>
      </w:pPr>
      <w:r>
        <w:rPr>
          <w:b/>
          <w:bCs/>
          <w:spacing w:val="-5"/>
          <w:sz w:val="28"/>
          <w:szCs w:val="28"/>
        </w:rPr>
        <w:t>3.4</w:t>
      </w:r>
      <w:r>
        <w:rPr>
          <w:spacing w:val="-37"/>
          <w:sz w:val="28"/>
          <w:szCs w:val="28"/>
        </w:rPr>
        <w:t xml:space="preserve"> </w:t>
      </w:r>
      <w:r>
        <w:rPr>
          <w:b/>
          <w:bCs/>
          <w:spacing w:val="-5"/>
          <w:sz w:val="28"/>
          <w:szCs w:val="28"/>
        </w:rPr>
        <w:t>原子重力仪的稳定性与灵敏度</w:t>
      </w:r>
    </w:p>
    <w:p w14:paraId="2B169489">
      <w:pPr>
        <w:pStyle w:val="2"/>
        <w:spacing w:before="155"/>
        <w:ind w:left="4" w:right="65" w:firstLine="477"/>
        <w:jc w:val="both"/>
      </w:pPr>
      <w:r>
        <w:rPr>
          <w:spacing w:val="-1"/>
        </w:rPr>
        <w:t>考虑到实际应用，应对原子重力仪的稳定性进行长期</w:t>
      </w:r>
      <w:r>
        <w:rPr>
          <w:spacing w:val="-2"/>
        </w:rPr>
        <w:t>的监控测试。图</w:t>
      </w:r>
      <w:r>
        <w:rPr>
          <w:spacing w:val="-44"/>
        </w:rPr>
        <w:t xml:space="preserve"> </w:t>
      </w:r>
      <w:r>
        <w:rPr>
          <w:spacing w:val="-2"/>
        </w:rPr>
        <w:t>5</w:t>
      </w:r>
      <w:r>
        <w:rPr>
          <w:spacing w:val="-35"/>
        </w:rPr>
        <w:t xml:space="preserve"> </w:t>
      </w:r>
      <w:r>
        <w:rPr>
          <w:spacing w:val="-2"/>
        </w:rPr>
        <w:t>为连续</w:t>
      </w:r>
      <w:r>
        <w:rPr>
          <w:spacing w:val="-45"/>
        </w:rPr>
        <w:t xml:space="preserve"> </w:t>
      </w:r>
      <w:r>
        <w:rPr>
          <w:spacing w:val="-2"/>
        </w:rPr>
        <w:t>5</w:t>
      </w:r>
      <w:r>
        <w:rPr>
          <w:spacing w:val="-43"/>
        </w:rPr>
        <w:t xml:space="preserve"> </w:t>
      </w:r>
      <w:r>
        <w:rPr>
          <w:spacing w:val="-2"/>
        </w:rPr>
        <w:t>天中潮</w:t>
      </w:r>
      <w:r>
        <w:rPr>
          <w:spacing w:val="-5"/>
        </w:rPr>
        <w:t>汐引起的重力场变化数据图，图中每个点代表一条干</w:t>
      </w:r>
      <w:r>
        <w:rPr>
          <w:spacing w:val="-6"/>
        </w:rPr>
        <w:t>涉条纹。从图中可以看出，理论曲线（黑</w:t>
      </w:r>
      <w:r>
        <w:t>线）与实际测试数据（红点）拟合较好，存在的残差数据可能是由环境因素如大气压、海潮</w:t>
      </w:r>
      <w:r>
        <w:rPr>
          <w:spacing w:val="-1"/>
        </w:rPr>
        <w:t>等引起的系统误差或人类活动产生的振动噪声。</w:t>
      </w:r>
    </w:p>
    <w:p w14:paraId="63C0C9A4">
      <w:pPr>
        <w:pStyle w:val="2"/>
        <w:spacing w:line="219" w:lineRule="auto"/>
        <w:ind w:left="487"/>
      </w:pPr>
      <w:r>
        <w:t>另对原子重力仪的灵敏度进行测试，艾伦方差法是一种评估仪器噪声水平和稳定性的常</w:t>
      </w:r>
    </w:p>
    <w:p w14:paraId="7A243199">
      <w:pPr>
        <w:pStyle w:val="2"/>
        <w:spacing w:before="28" w:line="302" w:lineRule="auto"/>
        <w:jc w:val="both"/>
      </w:pPr>
      <w:r>
        <w:rPr>
          <w:spacing w:val="1"/>
        </w:rPr>
        <w:t>用方法。在一定时间内连续采集重力测量数据，</w:t>
      </w:r>
      <w:r>
        <w:t>利用艾伦方差公式计算数据的噪声水平。艾</w:t>
      </w:r>
      <w:r>
        <w:rPr>
          <w:spacing w:val="-5"/>
        </w:rPr>
        <w:t>伦方差曲线上</w:t>
      </w:r>
      <w:r>
        <w:rPr>
          <w:spacing w:val="-33"/>
        </w:rPr>
        <w:t xml:space="preserve"> </w:t>
      </w:r>
      <w:r>
        <w:rPr>
          <w:spacing w:val="-5"/>
        </w:rPr>
        <w:t>1</w:t>
      </w:r>
      <w:r>
        <w:rPr>
          <w:spacing w:val="-43"/>
        </w:rPr>
        <w:t xml:space="preserve"> </w:t>
      </w:r>
      <w:r>
        <w:rPr>
          <w:spacing w:val="-5"/>
        </w:rPr>
        <w:t>秒时的重力值作为评估重力测量性能的重要指标。图</w:t>
      </w:r>
      <w:r>
        <w:rPr>
          <w:spacing w:val="-49"/>
        </w:rPr>
        <w:t xml:space="preserve"> </w:t>
      </w:r>
      <w:r>
        <w:rPr>
          <w:spacing w:val="-5"/>
        </w:rPr>
        <w:t>6 中，200</w:t>
      </w:r>
      <w:r>
        <w:rPr>
          <w:spacing w:val="-6"/>
        </w:rPr>
        <w:t xml:space="preserve"> s</w:t>
      </w:r>
      <w:r>
        <w:rPr>
          <w:spacing w:val="-43"/>
        </w:rPr>
        <w:t xml:space="preserve"> </w:t>
      </w:r>
      <w:r>
        <w:rPr>
          <w:spacing w:val="-6"/>
        </w:rPr>
        <w:t>积分时间，</w:t>
      </w:r>
      <w:r>
        <w:rPr>
          <w:spacing w:val="-1"/>
        </w:rPr>
        <w:t>重力测量分辨率可达</w:t>
      </w:r>
      <w:r>
        <w:rPr>
          <w:rFonts w:ascii="Times New Roman" w:hAnsi="Times New Roman" w:eastAsia="Times New Roman" w:cs="Times New Roman"/>
          <w:spacing w:val="-1"/>
          <w:sz w:val="23"/>
          <w:szCs w:val="23"/>
        </w:rPr>
        <w:t>1.</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1</w:t>
      </w:r>
      <w:r>
        <w:rPr>
          <w:rFonts w:ascii="Times New Roman" w:hAnsi="Times New Roman" w:eastAsia="Times New Roman" w:cs="Times New Roman"/>
          <w:spacing w:val="-39"/>
          <w:sz w:val="23"/>
          <w:szCs w:val="23"/>
        </w:rPr>
        <w:t xml:space="preserve"> </w:t>
      </w:r>
      <w:r>
        <w:rPr>
          <w:rFonts w:ascii="Arial" w:hAnsi="Arial" w:eastAsia="Arial" w:cs="Arial"/>
          <w:spacing w:val="-1"/>
          <w:sz w:val="23"/>
          <w:szCs w:val="23"/>
        </w:rPr>
        <w:t>×</w:t>
      </w:r>
      <w:r>
        <w:rPr>
          <w:rFonts w:ascii="Arial" w:hAnsi="Arial" w:eastAsia="Arial" w:cs="Arial"/>
          <w:spacing w:val="-27"/>
          <w:sz w:val="23"/>
          <w:szCs w:val="23"/>
        </w:rPr>
        <w:t xml:space="preserve"> </w:t>
      </w:r>
      <w:r>
        <w:rPr>
          <w:rFonts w:ascii="Times New Roman" w:hAnsi="Times New Roman" w:eastAsia="Times New Roman" w:cs="Times New Roman"/>
          <w:spacing w:val="-1"/>
          <w:sz w:val="23"/>
          <w:szCs w:val="23"/>
        </w:rPr>
        <w:t>10</w:t>
      </w:r>
      <w:r>
        <w:rPr>
          <w:rFonts w:ascii="Arial" w:hAnsi="Arial" w:eastAsia="Arial" w:cs="Arial"/>
          <w:spacing w:val="-1"/>
          <w:position w:val="10"/>
          <w:sz w:val="13"/>
          <w:szCs w:val="13"/>
        </w:rPr>
        <w:t>-</w:t>
      </w:r>
      <w:r>
        <w:rPr>
          <w:rFonts w:ascii="Times New Roman" w:hAnsi="Times New Roman" w:eastAsia="Times New Roman" w:cs="Times New Roman"/>
          <w:spacing w:val="-1"/>
          <w:position w:val="10"/>
          <w:sz w:val="13"/>
          <w:szCs w:val="13"/>
        </w:rPr>
        <w:t>8</w:t>
      </w:r>
      <w:r>
        <w:rPr>
          <w:rFonts w:ascii="Times New Roman" w:hAnsi="Times New Roman" w:eastAsia="Times New Roman" w:cs="Times New Roman"/>
          <w:spacing w:val="9"/>
          <w:w w:val="102"/>
          <w:position w:val="10"/>
          <w:sz w:val="13"/>
          <w:szCs w:val="13"/>
        </w:rPr>
        <w:t xml:space="preserve"> </w:t>
      </w:r>
      <w:r>
        <w:rPr>
          <w:spacing w:val="-1"/>
        </w:rPr>
        <w:t>g；1000s 以后，可以达到</w:t>
      </w:r>
      <w:r>
        <w:rPr>
          <w:rFonts w:ascii="Times New Roman" w:hAnsi="Times New Roman" w:eastAsia="Times New Roman" w:cs="Times New Roman"/>
          <w:spacing w:val="-1"/>
          <w:sz w:val="23"/>
          <w:szCs w:val="23"/>
        </w:rPr>
        <w:t>5.7</w:t>
      </w:r>
      <w:r>
        <w:rPr>
          <w:rFonts w:ascii="Times New Roman" w:hAnsi="Times New Roman" w:eastAsia="Times New Roman" w:cs="Times New Roman"/>
          <w:spacing w:val="-16"/>
          <w:sz w:val="23"/>
          <w:szCs w:val="23"/>
        </w:rPr>
        <w:t xml:space="preserve"> </w:t>
      </w:r>
      <w:r>
        <w:rPr>
          <w:rFonts w:ascii="Arial" w:hAnsi="Arial" w:eastAsia="Arial" w:cs="Arial"/>
          <w:spacing w:val="-1"/>
          <w:sz w:val="23"/>
          <w:szCs w:val="23"/>
        </w:rPr>
        <w:t>×</w:t>
      </w:r>
      <w:r>
        <w:rPr>
          <w:rFonts w:ascii="Arial" w:hAnsi="Arial" w:eastAsia="Arial" w:cs="Arial"/>
          <w:spacing w:val="-28"/>
          <w:sz w:val="23"/>
          <w:szCs w:val="23"/>
        </w:rPr>
        <w:t xml:space="preserve"> </w:t>
      </w:r>
      <w:r>
        <w:rPr>
          <w:rFonts w:ascii="Times New Roman" w:hAnsi="Times New Roman" w:eastAsia="Times New Roman" w:cs="Times New Roman"/>
          <w:spacing w:val="-1"/>
          <w:sz w:val="23"/>
          <w:szCs w:val="23"/>
        </w:rPr>
        <w:t>10</w:t>
      </w:r>
      <w:r>
        <w:rPr>
          <w:rFonts w:ascii="Arial" w:hAnsi="Arial" w:eastAsia="Arial" w:cs="Arial"/>
          <w:spacing w:val="-1"/>
          <w:position w:val="10"/>
          <w:sz w:val="13"/>
          <w:szCs w:val="13"/>
        </w:rPr>
        <w:t>-</w:t>
      </w:r>
      <w:r>
        <w:rPr>
          <w:rFonts w:ascii="Times New Roman" w:hAnsi="Times New Roman" w:eastAsia="Times New Roman" w:cs="Times New Roman"/>
          <w:spacing w:val="-1"/>
          <w:position w:val="10"/>
          <w:sz w:val="13"/>
          <w:szCs w:val="13"/>
        </w:rPr>
        <w:t>9</w:t>
      </w:r>
      <w:r>
        <w:rPr>
          <w:rFonts w:ascii="Times New Roman" w:hAnsi="Times New Roman" w:eastAsia="Times New Roman" w:cs="Times New Roman"/>
          <w:spacing w:val="31"/>
          <w:w w:val="101"/>
          <w:position w:val="10"/>
          <w:sz w:val="13"/>
          <w:szCs w:val="13"/>
        </w:rPr>
        <w:t xml:space="preserve"> </w:t>
      </w:r>
      <w:r>
        <w:rPr>
          <w:spacing w:val="-2"/>
        </w:rPr>
        <w:t>g。</w:t>
      </w:r>
    </w:p>
    <w:p w14:paraId="1B6B8A40">
      <w:pPr>
        <w:spacing w:line="302" w:lineRule="auto"/>
        <w:sectPr>
          <w:pgSz w:w="11906" w:h="16839"/>
          <w:pgMar w:top="1020" w:right="1069" w:bottom="0" w:left="1147" w:header="0" w:footer="0" w:gutter="0"/>
          <w:cols w:space="720" w:num="1"/>
        </w:sectPr>
      </w:pPr>
    </w:p>
    <w:p w14:paraId="2342E0F5">
      <w:pPr>
        <w:spacing w:before="79" w:line="3701" w:lineRule="exact"/>
        <w:ind w:firstLine="4600"/>
      </w:pPr>
      <w:r>
        <w:drawing>
          <wp:anchor distT="0" distB="0" distL="0" distR="0" simplePos="0" relativeHeight="251660288" behindDoc="0" locked="0" layoutInCell="0" allowOverlap="1">
            <wp:simplePos x="0" y="0"/>
            <wp:positionH relativeFrom="page">
              <wp:posOffset>720725</wp:posOffset>
            </wp:positionH>
            <wp:positionV relativeFrom="page">
              <wp:posOffset>807085</wp:posOffset>
            </wp:positionV>
            <wp:extent cx="2476500" cy="238950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
                    <a:stretch>
                      <a:fillRect/>
                    </a:stretch>
                  </pic:blipFill>
                  <pic:spPr>
                    <a:xfrm>
                      <a:off x="0" y="0"/>
                      <a:ext cx="2476500" cy="2389632"/>
                    </a:xfrm>
                    <a:prstGeom prst="rect">
                      <a:avLst/>
                    </a:prstGeom>
                  </pic:spPr>
                </pic:pic>
              </a:graphicData>
            </a:graphic>
          </wp:anchor>
        </w:drawing>
      </w:r>
      <w:r>
        <w:rPr>
          <w:position w:val="-74"/>
        </w:rPr>
        <w:drawing>
          <wp:inline distT="0" distB="0" distL="0" distR="0">
            <wp:extent cx="2811145" cy="23495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6"/>
                    <a:stretch>
                      <a:fillRect/>
                    </a:stretch>
                  </pic:blipFill>
                  <pic:spPr>
                    <a:xfrm>
                      <a:off x="0" y="0"/>
                      <a:ext cx="2811779" cy="2350007"/>
                    </a:xfrm>
                    <a:prstGeom prst="rect">
                      <a:avLst/>
                    </a:prstGeom>
                  </pic:spPr>
                </pic:pic>
              </a:graphicData>
            </a:graphic>
          </wp:inline>
        </w:drawing>
      </w:r>
    </w:p>
    <w:p w14:paraId="2060C4FB">
      <w:pPr>
        <w:pStyle w:val="2"/>
        <w:spacing w:before="188" w:line="228" w:lineRule="auto"/>
        <w:ind w:left="637"/>
        <w:rPr>
          <w:sz w:val="20"/>
          <w:szCs w:val="20"/>
        </w:rPr>
      </w:pPr>
      <w:r>
        <w:rPr>
          <w:spacing w:val="4"/>
          <w:sz w:val="20"/>
          <w:szCs w:val="20"/>
        </w:rPr>
        <w:t>[5]图</w:t>
      </w:r>
      <w:r>
        <w:rPr>
          <w:spacing w:val="-29"/>
          <w:sz w:val="20"/>
          <w:szCs w:val="20"/>
        </w:rPr>
        <w:t xml:space="preserve"> </w:t>
      </w:r>
      <w:r>
        <w:rPr>
          <w:spacing w:val="4"/>
          <w:sz w:val="20"/>
          <w:szCs w:val="20"/>
        </w:rPr>
        <w:t>5 原子重力仪的稳定性测试                   [6]图</w:t>
      </w:r>
      <w:r>
        <w:rPr>
          <w:spacing w:val="-39"/>
          <w:sz w:val="20"/>
          <w:szCs w:val="20"/>
        </w:rPr>
        <w:t xml:space="preserve"> </w:t>
      </w:r>
      <w:r>
        <w:rPr>
          <w:spacing w:val="4"/>
          <w:sz w:val="20"/>
          <w:szCs w:val="20"/>
        </w:rPr>
        <w:t>6 原子重力仪的灵敏性测试</w:t>
      </w:r>
    </w:p>
    <w:p w14:paraId="24EC7B2B">
      <w:pPr>
        <w:spacing w:line="388" w:lineRule="auto"/>
        <w:rPr>
          <w:rFonts w:ascii="Arial"/>
          <w:sz w:val="21"/>
        </w:rPr>
      </w:pPr>
    </w:p>
    <w:p w14:paraId="1DD2876A">
      <w:pPr>
        <w:pStyle w:val="2"/>
        <w:spacing w:before="97" w:line="224" w:lineRule="auto"/>
        <w:ind w:left="52"/>
        <w:rPr>
          <w:sz w:val="30"/>
          <w:szCs w:val="30"/>
        </w:rPr>
      </w:pPr>
      <w:r>
        <w:rPr>
          <w:b/>
          <w:bCs/>
          <w:spacing w:val="-17"/>
          <w:sz w:val="30"/>
          <w:szCs w:val="30"/>
        </w:rPr>
        <w:t>四、讨论</w:t>
      </w:r>
    </w:p>
    <w:p w14:paraId="77A5DD85">
      <w:pPr>
        <w:pStyle w:val="2"/>
        <w:spacing w:before="269" w:line="221" w:lineRule="auto"/>
        <w:ind w:left="6"/>
        <w:rPr>
          <w:sz w:val="28"/>
          <w:szCs w:val="28"/>
        </w:rPr>
      </w:pPr>
      <w:r>
        <w:rPr>
          <w:b/>
          <w:bCs/>
          <w:spacing w:val="-7"/>
          <w:sz w:val="28"/>
          <w:szCs w:val="28"/>
        </w:rPr>
        <w:t>4.1</w:t>
      </w:r>
      <w:r>
        <w:rPr>
          <w:spacing w:val="-7"/>
          <w:sz w:val="28"/>
          <w:szCs w:val="28"/>
        </w:rPr>
        <w:t xml:space="preserve"> </w:t>
      </w:r>
      <w:r>
        <w:rPr>
          <w:b/>
          <w:bCs/>
          <w:spacing w:val="-7"/>
          <w:sz w:val="28"/>
          <w:szCs w:val="28"/>
        </w:rPr>
        <w:t>尚未明晰的量子退相干微观机制</w:t>
      </w:r>
    </w:p>
    <w:p w14:paraId="2091D57C">
      <w:pPr>
        <w:pStyle w:val="2"/>
        <w:spacing w:before="152" w:line="241" w:lineRule="auto"/>
        <w:ind w:left="13" w:firstLine="480"/>
        <w:jc w:val="both"/>
      </w:pPr>
      <w:r>
        <w:rPr>
          <w:spacing w:val="1"/>
        </w:rPr>
        <w:t>环境因素会导致量子态发生退相干，对冷原子重</w:t>
      </w:r>
      <w:r>
        <w:t>力仪的测量精度影响较大。然而，量子</w:t>
      </w:r>
      <w:r>
        <w:rPr>
          <w:spacing w:val="-1"/>
        </w:rPr>
        <w:t>态从初始的相干叠加逐步过渡到完全退相干的微观动态过程，</w:t>
      </w:r>
      <w:r>
        <w:rPr>
          <w:spacing w:val="-59"/>
        </w:rPr>
        <w:t xml:space="preserve"> </w:t>
      </w:r>
      <w:r>
        <w:rPr>
          <w:spacing w:val="-1"/>
        </w:rPr>
        <w:t>目前还没有定论，使得在设计</w:t>
      </w:r>
      <w:r>
        <w:rPr>
          <w:spacing w:val="1"/>
        </w:rPr>
        <w:t>抗退相干策略时缺乏精准的理论依据，极大地限</w:t>
      </w:r>
      <w:r>
        <w:t>制了冷原子重力仪在复杂环境下测量精度的</w:t>
      </w:r>
      <w:r>
        <w:rPr>
          <w:spacing w:val="-6"/>
        </w:rPr>
        <w:t>提升。</w:t>
      </w:r>
    </w:p>
    <w:p w14:paraId="5B8CC122">
      <w:pPr>
        <w:spacing w:line="350" w:lineRule="auto"/>
        <w:rPr>
          <w:rFonts w:ascii="Arial"/>
          <w:sz w:val="21"/>
        </w:rPr>
      </w:pPr>
    </w:p>
    <w:p w14:paraId="36D248EA">
      <w:pPr>
        <w:pStyle w:val="2"/>
        <w:spacing w:before="91" w:line="222" w:lineRule="auto"/>
        <w:ind w:left="6"/>
        <w:rPr>
          <w:sz w:val="28"/>
          <w:szCs w:val="28"/>
        </w:rPr>
      </w:pPr>
      <w:r>
        <w:rPr>
          <w:b/>
          <w:bCs/>
          <w:spacing w:val="-5"/>
          <w:sz w:val="28"/>
          <w:szCs w:val="28"/>
        </w:rPr>
        <w:t>4.2</w:t>
      </w:r>
      <w:r>
        <w:rPr>
          <w:spacing w:val="-38"/>
          <w:sz w:val="28"/>
          <w:szCs w:val="28"/>
        </w:rPr>
        <w:t xml:space="preserve"> </w:t>
      </w:r>
      <w:r>
        <w:rPr>
          <w:b/>
          <w:bCs/>
          <w:spacing w:val="-5"/>
          <w:sz w:val="28"/>
          <w:szCs w:val="28"/>
        </w:rPr>
        <w:t>可能的灵敏度提升策略</w:t>
      </w:r>
    </w:p>
    <w:p w14:paraId="61927CB3">
      <w:pPr>
        <w:pStyle w:val="2"/>
        <w:spacing w:before="154"/>
        <w:ind w:left="13" w:firstLine="484"/>
        <w:jc w:val="both"/>
      </w:pPr>
      <w:r>
        <w:t>通过量子纠错辅助提升重力仪的灵敏度：引入量子纠错码技术，实时监测和纠正量子态</w:t>
      </w:r>
      <w:r>
        <w:rPr>
          <w:spacing w:val="1"/>
        </w:rPr>
        <w:t>在测量过程中因环境噪声、操作失误等因素产生</w:t>
      </w:r>
      <w:r>
        <w:t>的错误。通过巧妙设计量子纠错算法，能够</w:t>
      </w:r>
      <w:r>
        <w:rPr>
          <w:spacing w:val="1"/>
        </w:rPr>
        <w:t>精准识别并修复量子态中的错误信息，确保测量</w:t>
      </w:r>
      <w:r>
        <w:t>结果的准确性，提升冷原子重力仪对微小重</w:t>
      </w:r>
      <w:r>
        <w:rPr>
          <w:spacing w:val="-2"/>
        </w:rPr>
        <w:t>力变化的分辨能力。</w:t>
      </w:r>
    </w:p>
    <w:p w14:paraId="0DDB76A0">
      <w:pPr>
        <w:spacing w:line="352" w:lineRule="auto"/>
        <w:rPr>
          <w:rFonts w:ascii="Arial"/>
          <w:sz w:val="21"/>
        </w:rPr>
      </w:pPr>
    </w:p>
    <w:p w14:paraId="562BAEAC">
      <w:pPr>
        <w:pStyle w:val="2"/>
        <w:spacing w:before="91" w:line="222" w:lineRule="auto"/>
        <w:ind w:left="6"/>
        <w:rPr>
          <w:sz w:val="28"/>
          <w:szCs w:val="28"/>
        </w:rPr>
      </w:pPr>
      <w:r>
        <w:rPr>
          <w:b/>
          <w:bCs/>
          <w:spacing w:val="-5"/>
          <w:sz w:val="28"/>
          <w:szCs w:val="28"/>
        </w:rPr>
        <w:t>4.3</w:t>
      </w:r>
      <w:r>
        <w:rPr>
          <w:spacing w:val="-41"/>
          <w:sz w:val="28"/>
          <w:szCs w:val="28"/>
        </w:rPr>
        <w:t xml:space="preserve"> </w:t>
      </w:r>
      <w:r>
        <w:rPr>
          <w:b/>
          <w:bCs/>
          <w:spacing w:val="-5"/>
          <w:sz w:val="28"/>
          <w:szCs w:val="28"/>
        </w:rPr>
        <w:t>小型化与集成化困境</w:t>
      </w:r>
    </w:p>
    <w:p w14:paraId="215E1341">
      <w:pPr>
        <w:pStyle w:val="2"/>
        <w:spacing w:before="151"/>
        <w:ind w:left="14" w:right="38" w:firstLine="504"/>
        <w:jc w:val="both"/>
      </w:pPr>
      <w:r>
        <w:rPr>
          <w:spacing w:val="-1"/>
        </w:rPr>
        <w:t>当前，冷原子重力仪普遍体积较大、结构复杂，通常需要占用大面积的实验</w:t>
      </w:r>
      <w:r>
        <w:rPr>
          <w:spacing w:val="-2"/>
        </w:rPr>
        <w:t>室空间，并</w:t>
      </w:r>
      <w:r>
        <w:t>且要配备大量精密且昂贵的仪器设备。因此实现冷</w:t>
      </w:r>
      <w:r>
        <w:rPr>
          <w:spacing w:val="-1"/>
        </w:rPr>
        <w:t>原子重力仪的小型化和集成化面临诸多技术瓶颈，需要在微纳制造、集成光学等前沿技术领域取得突破性进展。</w:t>
      </w:r>
    </w:p>
    <w:p w14:paraId="16333068">
      <w:pPr>
        <w:spacing w:line="324" w:lineRule="auto"/>
        <w:rPr>
          <w:rFonts w:ascii="Arial"/>
          <w:sz w:val="21"/>
        </w:rPr>
      </w:pPr>
    </w:p>
    <w:p w14:paraId="603E2EB1">
      <w:pPr>
        <w:spacing w:line="325" w:lineRule="auto"/>
        <w:rPr>
          <w:rFonts w:ascii="Arial"/>
          <w:sz w:val="21"/>
        </w:rPr>
      </w:pPr>
    </w:p>
    <w:p w14:paraId="7DE20198">
      <w:pPr>
        <w:pStyle w:val="2"/>
        <w:spacing w:before="98" w:line="224" w:lineRule="auto"/>
        <w:ind w:left="22"/>
        <w:rPr>
          <w:sz w:val="30"/>
          <w:szCs w:val="30"/>
        </w:rPr>
      </w:pPr>
      <w:r>
        <w:rPr>
          <w:b/>
          <w:bCs/>
          <w:spacing w:val="-6"/>
          <w:sz w:val="30"/>
          <w:szCs w:val="30"/>
        </w:rPr>
        <w:t>五、总结与展望</w:t>
      </w:r>
    </w:p>
    <w:p w14:paraId="6E85406D">
      <w:pPr>
        <w:pStyle w:val="2"/>
        <w:spacing w:before="136"/>
        <w:ind w:left="13" w:right="38" w:firstLine="480"/>
        <w:jc w:val="both"/>
      </w:pPr>
      <w:r>
        <w:rPr>
          <w:spacing w:val="-2"/>
        </w:rPr>
        <w:t>本文聚焦冷原子重力仪中的量子力学，对其进行了全面剖析。</w:t>
      </w:r>
      <w:r>
        <w:rPr>
          <w:spacing w:val="-54"/>
        </w:rPr>
        <w:t xml:space="preserve"> </w:t>
      </w:r>
      <w:r>
        <w:rPr>
          <w:spacing w:val="-2"/>
        </w:rPr>
        <w:t>自 20 世纪 70 年代激光</w:t>
      </w:r>
      <w:r>
        <w:t>冷却技术兴起，冷原子重力仪从初步验证理论可行性</w:t>
      </w:r>
      <w:r>
        <w:rPr>
          <w:spacing w:val="-1"/>
        </w:rPr>
        <w:t>出发，历经多阶段发展，逐步提高测量精度、拓展应用领域，当下正朝着小型化、集成化目标攻坚。</w:t>
      </w:r>
    </w:p>
    <w:p w14:paraId="066D25F3">
      <w:pPr>
        <w:sectPr>
          <w:pgSz w:w="11906" w:h="16839"/>
          <w:pgMar w:top="1271" w:right="1134" w:bottom="0" w:left="1135" w:header="0" w:footer="0" w:gutter="0"/>
          <w:cols w:space="720" w:num="1"/>
        </w:sectPr>
      </w:pPr>
    </w:p>
    <w:p w14:paraId="3447EE56">
      <w:pPr>
        <w:pStyle w:val="2"/>
        <w:spacing w:before="49"/>
        <w:ind w:firstLine="482"/>
        <w:jc w:val="both"/>
      </w:pPr>
      <w:r>
        <w:rPr>
          <w:spacing w:val="-1"/>
        </w:rPr>
        <w:t>冷原子重力仪的基本原理，涵盖冷原子团制备、量子态纯化、原子干涉及归一化态探测</w:t>
      </w:r>
      <w:r>
        <w:t>等步骤，借助量子力学与光、磁技术协同，实现高精</w:t>
      </w:r>
      <w:r>
        <w:rPr>
          <w:spacing w:val="-1"/>
        </w:rPr>
        <w:t>度重力测量。然而，在重力仪的研究与</w:t>
      </w:r>
      <w:r>
        <w:t>发展过程中，也存在量子退相干等微观机制不明阻碍</w:t>
      </w:r>
      <w:r>
        <w:rPr>
          <w:spacing w:val="-1"/>
        </w:rPr>
        <w:t>精度提升，仪器体积大、结构复杂限制</w:t>
      </w:r>
      <w:r>
        <w:rPr>
          <w:spacing w:val="-2"/>
        </w:rPr>
        <w:t>应用拓展等困境。</w:t>
      </w:r>
    </w:p>
    <w:p w14:paraId="1449373C">
      <w:pPr>
        <w:pStyle w:val="2"/>
        <w:spacing w:before="2"/>
        <w:ind w:firstLine="481"/>
        <w:jc w:val="both"/>
      </w:pPr>
      <w:r>
        <w:t>展望未来，在理论研究上随着量子力学基础研</w:t>
      </w:r>
      <w:r>
        <w:rPr>
          <w:spacing w:val="-1"/>
        </w:rPr>
        <w:t>究不断推进，有望逐步弄清楚量子退相干</w:t>
      </w:r>
      <w:r>
        <w:t>的微观过程，据此设计出实用的抗退相干方法，使冷</w:t>
      </w:r>
      <w:r>
        <w:rPr>
          <w:spacing w:val="-1"/>
        </w:rPr>
        <w:t>原子重力仪在复杂环境下也能保障测量</w:t>
      </w:r>
      <w:r>
        <w:t>精度，扩大使用场景；在技术层面，微纳制造与集成</w:t>
      </w:r>
      <w:r>
        <w:rPr>
          <w:spacing w:val="-1"/>
        </w:rPr>
        <w:t>光学技术的突破将推动冷原子重力仪克</w:t>
      </w:r>
      <w:r>
        <w:t>服体积和结构局限，实现小型化、集成化，并逐渐融</w:t>
      </w:r>
      <w:r>
        <w:rPr>
          <w:spacing w:val="-1"/>
        </w:rPr>
        <w:t>入地质灾害监测、智能交通导航等日常</w:t>
      </w:r>
      <w:r>
        <w:t>领域，服务大众生活、体现社会价值；在性能提升方</w:t>
      </w:r>
      <w:r>
        <w:rPr>
          <w:spacing w:val="-1"/>
        </w:rPr>
        <w:t>面，随着未来量子纠错码技术的不断成</w:t>
      </w:r>
      <w:r>
        <w:t>熟普及，冷原子重力仪对微小重力变化的感知能力增</w:t>
      </w:r>
      <w:r>
        <w:rPr>
          <w:spacing w:val="-1"/>
        </w:rPr>
        <w:t>强，可以为地球物理勘探、航空航天测量等提供更准的数据，助力科技进步，耕耘未知领域。</w:t>
      </w:r>
    </w:p>
    <w:p w14:paraId="3DD97508">
      <w:pPr>
        <w:sectPr>
          <w:pgSz w:w="11906" w:h="16839"/>
          <w:pgMar w:top="1120" w:right="1173" w:bottom="0" w:left="1147" w:header="0" w:footer="0" w:gutter="0"/>
          <w:cols w:space="720" w:num="1"/>
        </w:sectPr>
      </w:pPr>
    </w:p>
    <w:p w14:paraId="0EA1B8D8">
      <w:pPr>
        <w:pStyle w:val="2"/>
        <w:spacing w:before="57" w:line="223" w:lineRule="auto"/>
        <w:ind w:left="15"/>
        <w:rPr>
          <w:sz w:val="28"/>
          <w:szCs w:val="28"/>
        </w:rPr>
      </w:pPr>
      <w:r>
        <w:rPr>
          <w:b/>
          <w:bCs/>
          <w:spacing w:val="-7"/>
          <w:sz w:val="28"/>
          <w:szCs w:val="28"/>
        </w:rPr>
        <w:t>参考文献：</w:t>
      </w:r>
    </w:p>
    <w:p w14:paraId="20B1F4C2">
      <w:pPr>
        <w:spacing w:before="164" w:line="273" w:lineRule="auto"/>
        <w:ind w:left="1" w:firstLine="10"/>
        <w:rPr>
          <w:rFonts w:ascii="Calibri" w:hAnsi="Calibri" w:eastAsia="Calibri" w:cs="Calibri"/>
          <w:sz w:val="20"/>
          <w:szCs w:val="20"/>
        </w:rPr>
      </w:pPr>
      <w:r>
        <w:rPr>
          <w:rFonts w:ascii="Calibri" w:hAnsi="Calibri" w:eastAsia="Calibri" w:cs="Calibri"/>
          <w:spacing w:val="2"/>
          <w:sz w:val="20"/>
          <w:szCs w:val="20"/>
        </w:rPr>
        <w:t>[1]</w:t>
      </w:r>
      <w:r>
        <w:rPr>
          <w:rFonts w:ascii="宋体" w:hAnsi="宋体" w:eastAsia="宋体" w:cs="宋体"/>
          <w:spacing w:val="2"/>
          <w:sz w:val="20"/>
          <w:szCs w:val="20"/>
        </w:rPr>
        <w:t>图</w:t>
      </w:r>
      <w:r>
        <w:rPr>
          <w:rFonts w:ascii="宋体" w:hAnsi="宋体" w:eastAsia="宋体" w:cs="宋体"/>
          <w:spacing w:val="-27"/>
          <w:sz w:val="20"/>
          <w:szCs w:val="20"/>
        </w:rPr>
        <w:t xml:space="preserve"> </w:t>
      </w:r>
      <w:r>
        <w:rPr>
          <w:rFonts w:ascii="Calibri" w:hAnsi="Calibri" w:eastAsia="Calibri" w:cs="Calibri"/>
          <w:spacing w:val="2"/>
          <w:sz w:val="20"/>
          <w:szCs w:val="20"/>
        </w:rPr>
        <w:t>1</w:t>
      </w:r>
      <w:r>
        <w:rPr>
          <w:rFonts w:ascii="Calibri" w:hAnsi="Calibri" w:eastAsia="Calibri" w:cs="Calibri"/>
          <w:spacing w:val="-23"/>
          <w:sz w:val="20"/>
          <w:szCs w:val="20"/>
        </w:rPr>
        <w:t xml:space="preserve"> </w:t>
      </w:r>
      <w:r>
        <w:rPr>
          <w:rFonts w:ascii="宋体" w:hAnsi="宋体" w:eastAsia="宋体" w:cs="宋体"/>
          <w:spacing w:val="2"/>
          <w:sz w:val="20"/>
          <w:szCs w:val="20"/>
        </w:rPr>
        <w:t>、</w:t>
      </w:r>
      <w:r>
        <w:rPr>
          <w:rFonts w:ascii="Calibri" w:hAnsi="Calibri" w:eastAsia="Calibri" w:cs="Calibri"/>
          <w:spacing w:val="2"/>
          <w:sz w:val="20"/>
          <w:szCs w:val="20"/>
        </w:rPr>
        <w:t>4</w:t>
      </w:r>
      <w:r>
        <w:rPr>
          <w:rFonts w:ascii="Calibri" w:hAnsi="Calibri" w:eastAsia="Calibri" w:cs="Calibri"/>
          <w:spacing w:val="-22"/>
          <w:sz w:val="20"/>
          <w:szCs w:val="20"/>
        </w:rPr>
        <w:t xml:space="preserve"> </w:t>
      </w:r>
      <w:r>
        <w:rPr>
          <w:rFonts w:ascii="宋体" w:hAnsi="宋体" w:eastAsia="宋体" w:cs="宋体"/>
          <w:spacing w:val="2"/>
          <w:sz w:val="20"/>
          <w:szCs w:val="20"/>
        </w:rPr>
        <w:t>、</w:t>
      </w:r>
      <w:r>
        <w:rPr>
          <w:rFonts w:ascii="Calibri" w:hAnsi="Calibri" w:eastAsia="Calibri" w:cs="Calibri"/>
          <w:spacing w:val="2"/>
          <w:sz w:val="20"/>
          <w:szCs w:val="20"/>
        </w:rPr>
        <w:t>5</w:t>
      </w:r>
      <w:r>
        <w:rPr>
          <w:rFonts w:ascii="Calibri" w:hAnsi="Calibri" w:eastAsia="Calibri" w:cs="Calibri"/>
          <w:spacing w:val="-23"/>
          <w:sz w:val="20"/>
          <w:szCs w:val="20"/>
        </w:rPr>
        <w:t xml:space="preserve"> </w:t>
      </w:r>
      <w:r>
        <w:rPr>
          <w:rFonts w:ascii="宋体" w:hAnsi="宋体" w:eastAsia="宋体" w:cs="宋体"/>
          <w:spacing w:val="2"/>
          <w:sz w:val="20"/>
          <w:szCs w:val="20"/>
        </w:rPr>
        <w:t>、</w:t>
      </w:r>
      <w:r>
        <w:rPr>
          <w:rFonts w:ascii="Calibri" w:hAnsi="Calibri" w:eastAsia="Calibri" w:cs="Calibri"/>
          <w:spacing w:val="2"/>
          <w:sz w:val="20"/>
          <w:szCs w:val="20"/>
        </w:rPr>
        <w:t>6</w:t>
      </w:r>
      <w:r>
        <w:rPr>
          <w:rFonts w:ascii="Calibri" w:hAnsi="Calibri" w:eastAsia="Calibri" w:cs="Calibri"/>
          <w:spacing w:val="17"/>
          <w:sz w:val="20"/>
          <w:szCs w:val="20"/>
        </w:rPr>
        <w:t xml:space="preserve"> </w:t>
      </w:r>
      <w:r>
        <w:rPr>
          <w:rFonts w:ascii="宋体" w:hAnsi="宋体" w:eastAsia="宋体" w:cs="宋体"/>
          <w:spacing w:val="2"/>
          <w:sz w:val="20"/>
          <w:szCs w:val="20"/>
        </w:rPr>
        <w:t>来源：</w:t>
      </w:r>
      <w:r>
        <w:rPr>
          <w:rFonts w:ascii="Calibri" w:hAnsi="Calibri" w:eastAsia="Calibri" w:cs="Calibri"/>
          <w:sz w:val="20"/>
          <w:szCs w:val="20"/>
        </w:rPr>
        <w:t>Wu</w:t>
      </w:r>
      <w:r>
        <w:rPr>
          <w:rFonts w:ascii="Calibri" w:hAnsi="Calibri" w:eastAsia="Calibri" w:cs="Calibri"/>
          <w:spacing w:val="15"/>
          <w:w w:val="101"/>
          <w:sz w:val="20"/>
          <w:szCs w:val="20"/>
        </w:rPr>
        <w:t xml:space="preserve">  </w:t>
      </w:r>
      <w:r>
        <w:rPr>
          <w:rFonts w:ascii="Calibri" w:hAnsi="Calibri" w:eastAsia="Calibri" w:cs="Calibri"/>
          <w:sz w:val="20"/>
          <w:szCs w:val="20"/>
        </w:rPr>
        <w:t>B</w:t>
      </w:r>
      <w:r>
        <w:rPr>
          <w:rFonts w:ascii="Calibri" w:hAnsi="Calibri" w:eastAsia="Calibri" w:cs="Calibri"/>
          <w:spacing w:val="2"/>
          <w:sz w:val="20"/>
          <w:szCs w:val="20"/>
        </w:rPr>
        <w:t>,</w:t>
      </w:r>
      <w:r>
        <w:rPr>
          <w:rFonts w:ascii="Calibri" w:hAnsi="Calibri" w:eastAsia="Calibri" w:cs="Calibri"/>
          <w:sz w:val="20"/>
          <w:szCs w:val="20"/>
        </w:rPr>
        <w:t>Wang</w:t>
      </w:r>
      <w:r>
        <w:rPr>
          <w:rFonts w:ascii="Calibri" w:hAnsi="Calibri" w:eastAsia="Calibri" w:cs="Calibri"/>
          <w:spacing w:val="2"/>
          <w:sz w:val="20"/>
          <w:szCs w:val="20"/>
        </w:rPr>
        <w:t xml:space="preserve">  </w:t>
      </w:r>
      <w:r>
        <w:rPr>
          <w:rFonts w:ascii="Calibri" w:hAnsi="Calibri" w:eastAsia="Calibri" w:cs="Calibri"/>
          <w:sz w:val="20"/>
          <w:szCs w:val="20"/>
        </w:rPr>
        <w:t>Z</w:t>
      </w:r>
      <w:r>
        <w:rPr>
          <w:rFonts w:ascii="Calibri" w:hAnsi="Calibri" w:eastAsia="Calibri" w:cs="Calibri"/>
          <w:spacing w:val="2"/>
          <w:sz w:val="20"/>
          <w:szCs w:val="20"/>
        </w:rPr>
        <w:t xml:space="preserve">  </w:t>
      </w:r>
      <w:r>
        <w:rPr>
          <w:rFonts w:ascii="Calibri" w:hAnsi="Calibri" w:eastAsia="Calibri" w:cs="Calibri"/>
          <w:sz w:val="20"/>
          <w:szCs w:val="20"/>
        </w:rPr>
        <w:t>Y</w:t>
      </w:r>
      <w:r>
        <w:rPr>
          <w:rFonts w:ascii="Calibri" w:hAnsi="Calibri" w:eastAsia="Calibri" w:cs="Calibri"/>
          <w:spacing w:val="2"/>
          <w:sz w:val="20"/>
          <w:szCs w:val="20"/>
        </w:rPr>
        <w:t>,</w:t>
      </w:r>
      <w:r>
        <w:rPr>
          <w:rFonts w:ascii="Calibri" w:hAnsi="Calibri" w:eastAsia="Calibri" w:cs="Calibri"/>
          <w:sz w:val="20"/>
          <w:szCs w:val="20"/>
        </w:rPr>
        <w:t>Cheng</w:t>
      </w:r>
      <w:r>
        <w:rPr>
          <w:rFonts w:ascii="Calibri" w:hAnsi="Calibri" w:eastAsia="Calibri" w:cs="Calibri"/>
          <w:spacing w:val="2"/>
          <w:sz w:val="20"/>
          <w:szCs w:val="20"/>
        </w:rPr>
        <w:t xml:space="preserve">   </w:t>
      </w:r>
      <w:r>
        <w:rPr>
          <w:rFonts w:ascii="Calibri" w:hAnsi="Calibri" w:eastAsia="Calibri" w:cs="Calibri"/>
          <w:sz w:val="20"/>
          <w:szCs w:val="20"/>
        </w:rPr>
        <w:t>B</w:t>
      </w:r>
      <w:r>
        <w:rPr>
          <w:rFonts w:ascii="Calibri" w:hAnsi="Calibri" w:eastAsia="Calibri" w:cs="Calibri"/>
          <w:spacing w:val="2"/>
          <w:sz w:val="20"/>
          <w:szCs w:val="20"/>
        </w:rPr>
        <w:t>,</w:t>
      </w:r>
      <w:r>
        <w:rPr>
          <w:rFonts w:ascii="Calibri" w:hAnsi="Calibri" w:eastAsia="Calibri" w:cs="Calibri"/>
          <w:sz w:val="20"/>
          <w:szCs w:val="20"/>
        </w:rPr>
        <w:t>et</w:t>
      </w:r>
      <w:r>
        <w:rPr>
          <w:rFonts w:ascii="Calibri" w:hAnsi="Calibri" w:eastAsia="Calibri" w:cs="Calibri"/>
          <w:spacing w:val="11"/>
          <w:sz w:val="20"/>
          <w:szCs w:val="20"/>
        </w:rPr>
        <w:t xml:space="preserve">  </w:t>
      </w:r>
      <w:r>
        <w:rPr>
          <w:rFonts w:ascii="Calibri" w:hAnsi="Calibri" w:eastAsia="Calibri" w:cs="Calibri"/>
          <w:sz w:val="20"/>
          <w:szCs w:val="20"/>
        </w:rPr>
        <w:t>al</w:t>
      </w:r>
      <w:r>
        <w:rPr>
          <w:rFonts w:ascii="Calibri" w:hAnsi="Calibri" w:eastAsia="Calibri" w:cs="Calibri"/>
          <w:spacing w:val="2"/>
          <w:sz w:val="20"/>
          <w:szCs w:val="20"/>
        </w:rPr>
        <w:t>.</w:t>
      </w:r>
      <w:r>
        <w:rPr>
          <w:rFonts w:ascii="Calibri" w:hAnsi="Calibri" w:eastAsia="Calibri" w:cs="Calibri"/>
          <w:sz w:val="20"/>
          <w:szCs w:val="20"/>
        </w:rPr>
        <w:t>A</w:t>
      </w:r>
      <w:r>
        <w:rPr>
          <w:rFonts w:ascii="Calibri" w:hAnsi="Calibri" w:eastAsia="Calibri" w:cs="Calibri"/>
          <w:spacing w:val="2"/>
          <w:sz w:val="20"/>
          <w:szCs w:val="20"/>
        </w:rPr>
        <w:t xml:space="preserve">   </w:t>
      </w:r>
      <w:r>
        <w:rPr>
          <w:rFonts w:ascii="Calibri" w:hAnsi="Calibri" w:eastAsia="Calibri" w:cs="Calibri"/>
          <w:sz w:val="20"/>
          <w:szCs w:val="20"/>
        </w:rPr>
        <w:t>study</w:t>
      </w:r>
      <w:r>
        <w:rPr>
          <w:rFonts w:ascii="Calibri" w:hAnsi="Calibri" w:eastAsia="Calibri" w:cs="Calibri"/>
          <w:spacing w:val="2"/>
          <w:sz w:val="20"/>
          <w:szCs w:val="20"/>
        </w:rPr>
        <w:t xml:space="preserve">  </w:t>
      </w:r>
      <w:r>
        <w:rPr>
          <w:rFonts w:ascii="Calibri" w:hAnsi="Calibri" w:eastAsia="Calibri" w:cs="Calibri"/>
          <w:sz w:val="20"/>
          <w:szCs w:val="20"/>
        </w:rPr>
        <w:t>of</w:t>
      </w:r>
      <w:r>
        <w:rPr>
          <w:rFonts w:ascii="Calibri" w:hAnsi="Calibri" w:eastAsia="Calibri" w:cs="Calibri"/>
          <w:spacing w:val="2"/>
          <w:sz w:val="20"/>
          <w:szCs w:val="20"/>
        </w:rPr>
        <w:t xml:space="preserve">  </w:t>
      </w:r>
      <w:r>
        <w:rPr>
          <w:rFonts w:ascii="Calibri" w:hAnsi="Calibri" w:eastAsia="Calibri" w:cs="Calibri"/>
          <w:sz w:val="20"/>
          <w:szCs w:val="20"/>
        </w:rPr>
        <w:t>the</w:t>
      </w:r>
      <w:r>
        <w:rPr>
          <w:rFonts w:ascii="Calibri" w:hAnsi="Calibri" w:eastAsia="Calibri" w:cs="Calibri"/>
          <w:spacing w:val="2"/>
          <w:sz w:val="20"/>
          <w:szCs w:val="20"/>
        </w:rPr>
        <w:t xml:space="preserve">   </w:t>
      </w:r>
      <w:r>
        <w:rPr>
          <w:rFonts w:ascii="Calibri" w:hAnsi="Calibri" w:eastAsia="Calibri" w:cs="Calibri"/>
          <w:sz w:val="20"/>
          <w:szCs w:val="20"/>
        </w:rPr>
        <w:t>u</w:t>
      </w:r>
      <w:r>
        <w:rPr>
          <w:rFonts w:ascii="Calibri" w:hAnsi="Calibri" w:eastAsia="Calibri" w:cs="Calibri"/>
          <w:spacing w:val="2"/>
          <w:sz w:val="20"/>
          <w:szCs w:val="20"/>
        </w:rPr>
        <w:t>-</w:t>
      </w:r>
      <w:r>
        <w:rPr>
          <w:rFonts w:ascii="Calibri" w:hAnsi="Calibri" w:eastAsia="Calibri" w:cs="Calibri"/>
          <w:sz w:val="20"/>
          <w:szCs w:val="20"/>
        </w:rPr>
        <w:t>Gal</w:t>
      </w:r>
      <w:r>
        <w:rPr>
          <w:rFonts w:ascii="Calibri" w:hAnsi="Calibri" w:eastAsia="Calibri" w:cs="Calibri"/>
          <w:spacing w:val="2"/>
          <w:sz w:val="20"/>
          <w:szCs w:val="20"/>
        </w:rPr>
        <w:t>-</w:t>
      </w:r>
      <w:r>
        <w:rPr>
          <w:rFonts w:ascii="Calibri" w:hAnsi="Calibri" w:eastAsia="Calibri" w:cs="Calibri"/>
          <w:sz w:val="20"/>
          <w:szCs w:val="20"/>
        </w:rPr>
        <w:t>level</w:t>
      </w:r>
      <w:r>
        <w:rPr>
          <w:rFonts w:ascii="Calibri" w:hAnsi="Calibri" w:eastAsia="Calibri" w:cs="Calibri"/>
          <w:spacing w:val="2"/>
          <w:sz w:val="20"/>
          <w:szCs w:val="20"/>
        </w:rPr>
        <w:t xml:space="preserve">   </w:t>
      </w:r>
      <w:r>
        <w:rPr>
          <w:rFonts w:ascii="Calibri" w:hAnsi="Calibri" w:eastAsia="Calibri" w:cs="Calibri"/>
          <w:sz w:val="20"/>
          <w:szCs w:val="20"/>
        </w:rPr>
        <w:t>cold</w:t>
      </w:r>
      <w:r>
        <w:rPr>
          <w:rFonts w:ascii="Calibri" w:hAnsi="Calibri" w:eastAsia="Calibri" w:cs="Calibri"/>
          <w:spacing w:val="2"/>
          <w:sz w:val="20"/>
          <w:szCs w:val="20"/>
        </w:rPr>
        <w:t xml:space="preserve">  </w:t>
      </w:r>
      <w:r>
        <w:rPr>
          <w:rFonts w:ascii="Calibri" w:hAnsi="Calibri" w:eastAsia="Calibri" w:cs="Calibri"/>
          <w:sz w:val="20"/>
          <w:szCs w:val="20"/>
        </w:rPr>
        <w:t>atom</w:t>
      </w:r>
      <w:r>
        <w:rPr>
          <w:rFonts w:ascii="Calibri" w:hAnsi="Calibri" w:eastAsia="Calibri" w:cs="Calibri"/>
          <w:spacing w:val="11"/>
          <w:sz w:val="20"/>
          <w:szCs w:val="20"/>
        </w:rPr>
        <w:t xml:space="preserve">  </w:t>
      </w:r>
      <w:r>
        <w:rPr>
          <w:rFonts w:ascii="Calibri" w:hAnsi="Calibri" w:eastAsia="Calibri" w:cs="Calibri"/>
          <w:sz w:val="20"/>
          <w:szCs w:val="20"/>
        </w:rPr>
        <w:t>gravimeter</w:t>
      </w:r>
      <w:r>
        <w:rPr>
          <w:rFonts w:ascii="Calibri" w:hAnsi="Calibri" w:eastAsia="Calibri" w:cs="Calibri"/>
          <w:spacing w:val="2"/>
          <w:sz w:val="20"/>
          <w:szCs w:val="20"/>
        </w:rPr>
        <w:t>[J].</w:t>
      </w:r>
      <w:r>
        <w:rPr>
          <w:rFonts w:ascii="Calibri" w:hAnsi="Calibri" w:eastAsia="Calibri" w:cs="Calibri"/>
          <w:sz w:val="20"/>
          <w:szCs w:val="20"/>
        </w:rPr>
        <w:t xml:space="preserve"> Geophysical</w:t>
      </w:r>
      <w:r>
        <w:rPr>
          <w:rFonts w:ascii="Calibri" w:hAnsi="Calibri" w:eastAsia="Calibri" w:cs="Calibri"/>
          <w:spacing w:val="8"/>
          <w:sz w:val="20"/>
          <w:szCs w:val="20"/>
        </w:rPr>
        <w:t xml:space="preserve">  </w:t>
      </w:r>
      <w:r>
        <w:rPr>
          <w:rFonts w:ascii="Calibri" w:hAnsi="Calibri" w:eastAsia="Calibri" w:cs="Calibri"/>
          <w:sz w:val="20"/>
          <w:szCs w:val="20"/>
        </w:rPr>
        <w:t>and</w:t>
      </w:r>
      <w:r>
        <w:rPr>
          <w:rFonts w:ascii="Calibri" w:hAnsi="Calibri" w:eastAsia="Calibri" w:cs="Calibri"/>
          <w:spacing w:val="8"/>
          <w:sz w:val="20"/>
          <w:szCs w:val="20"/>
        </w:rPr>
        <w:t xml:space="preserve">  </w:t>
      </w:r>
      <w:r>
        <w:rPr>
          <w:rFonts w:ascii="Calibri" w:hAnsi="Calibri" w:eastAsia="Calibri" w:cs="Calibri"/>
          <w:sz w:val="20"/>
          <w:szCs w:val="20"/>
        </w:rPr>
        <w:t>Geochemical</w:t>
      </w:r>
      <w:r>
        <w:rPr>
          <w:rFonts w:ascii="Calibri" w:hAnsi="Calibri" w:eastAsia="Calibri" w:cs="Calibri"/>
          <w:spacing w:val="8"/>
          <w:sz w:val="20"/>
          <w:szCs w:val="20"/>
        </w:rPr>
        <w:t xml:space="preserve">   </w:t>
      </w:r>
      <w:r>
        <w:rPr>
          <w:rFonts w:ascii="Calibri" w:hAnsi="Calibri" w:eastAsia="Calibri" w:cs="Calibri"/>
          <w:sz w:val="20"/>
          <w:szCs w:val="20"/>
        </w:rPr>
        <w:t>Exploration</w:t>
      </w:r>
      <w:r>
        <w:rPr>
          <w:rFonts w:ascii="Calibri" w:hAnsi="Calibri" w:eastAsia="Calibri" w:cs="Calibri"/>
          <w:spacing w:val="8"/>
          <w:sz w:val="20"/>
          <w:szCs w:val="20"/>
        </w:rPr>
        <w:t xml:space="preserve">  ,2015,39(S</w:t>
      </w:r>
      <w:r>
        <w:rPr>
          <w:rFonts w:ascii="Calibri" w:hAnsi="Calibri" w:eastAsia="Calibri" w:cs="Calibri"/>
          <w:spacing w:val="7"/>
          <w:sz w:val="20"/>
          <w:szCs w:val="20"/>
        </w:rPr>
        <w:t>1):47-52.</w:t>
      </w:r>
      <w:r>
        <w:fldChar w:fldCharType="begin"/>
      </w:r>
      <w:r>
        <w:instrText xml:space="preserve"> HYPERLINK "http://doi.org/10.11720/styht.2015.S1.11" </w:instrText>
      </w:r>
      <w:r>
        <w:fldChar w:fldCharType="separate"/>
      </w:r>
      <w:r>
        <w:rPr>
          <w:rFonts w:ascii="Calibri" w:hAnsi="Calibri" w:eastAsia="Calibri" w:cs="Calibri"/>
          <w:sz w:val="20"/>
          <w:szCs w:val="20"/>
        </w:rPr>
        <w:t>http</w:t>
      </w:r>
      <w:r>
        <w:rPr>
          <w:rFonts w:ascii="Calibri" w:hAnsi="Calibri" w:eastAsia="Calibri" w:cs="Calibri"/>
          <w:spacing w:val="7"/>
          <w:sz w:val="20"/>
          <w:szCs w:val="20"/>
        </w:rPr>
        <w:t>://</w:t>
      </w:r>
      <w:r>
        <w:rPr>
          <w:rFonts w:ascii="Calibri" w:hAnsi="Calibri" w:eastAsia="Calibri" w:cs="Calibri"/>
          <w:sz w:val="20"/>
          <w:szCs w:val="20"/>
        </w:rPr>
        <w:t>doi</w:t>
      </w:r>
      <w:r>
        <w:rPr>
          <w:rFonts w:ascii="Calibri" w:hAnsi="Calibri" w:eastAsia="Calibri" w:cs="Calibri"/>
          <w:spacing w:val="7"/>
          <w:sz w:val="20"/>
          <w:szCs w:val="20"/>
        </w:rPr>
        <w:t>.</w:t>
      </w:r>
      <w:r>
        <w:rPr>
          <w:rFonts w:ascii="Calibri" w:hAnsi="Calibri" w:eastAsia="Calibri" w:cs="Calibri"/>
          <w:sz w:val="20"/>
          <w:szCs w:val="20"/>
        </w:rPr>
        <w:t>org</w:t>
      </w:r>
      <w:r>
        <w:rPr>
          <w:rFonts w:ascii="Calibri" w:hAnsi="Calibri" w:eastAsia="Calibri" w:cs="Calibri"/>
          <w:spacing w:val="7"/>
          <w:sz w:val="20"/>
          <w:szCs w:val="20"/>
        </w:rPr>
        <w:t>/10.11720/</w:t>
      </w:r>
      <w:r>
        <w:rPr>
          <w:rFonts w:ascii="Calibri" w:hAnsi="Calibri" w:eastAsia="Calibri" w:cs="Calibri"/>
          <w:sz w:val="20"/>
          <w:szCs w:val="20"/>
        </w:rPr>
        <w:t>styht</w:t>
      </w:r>
      <w:r>
        <w:rPr>
          <w:rFonts w:ascii="Calibri" w:hAnsi="Calibri" w:eastAsia="Calibri" w:cs="Calibri"/>
          <w:spacing w:val="7"/>
          <w:sz w:val="20"/>
          <w:szCs w:val="20"/>
        </w:rPr>
        <w:t>.2015.S1.11</w:t>
      </w:r>
      <w:r>
        <w:rPr>
          <w:rFonts w:ascii="Calibri" w:hAnsi="Calibri" w:eastAsia="Calibri" w:cs="Calibri"/>
          <w:spacing w:val="7"/>
          <w:sz w:val="20"/>
          <w:szCs w:val="20"/>
        </w:rPr>
        <w:fldChar w:fldCharType="end"/>
      </w:r>
    </w:p>
    <w:p w14:paraId="02FB489B">
      <w:pPr>
        <w:spacing w:before="50" w:line="284" w:lineRule="auto"/>
        <w:ind w:right="5" w:firstLine="12"/>
        <w:rPr>
          <w:rFonts w:ascii="Calibri" w:hAnsi="Calibri" w:eastAsia="Calibri" w:cs="Calibri"/>
          <w:sz w:val="20"/>
          <w:szCs w:val="20"/>
        </w:rPr>
      </w:pPr>
      <w:r>
        <w:rPr>
          <w:rFonts w:ascii="Calibri" w:hAnsi="Calibri" w:eastAsia="Calibri" w:cs="Calibri"/>
          <w:spacing w:val="7"/>
          <w:sz w:val="20"/>
          <w:szCs w:val="20"/>
        </w:rPr>
        <w:t>[2]</w:t>
      </w:r>
      <w:r>
        <w:rPr>
          <w:rFonts w:ascii="宋体" w:hAnsi="宋体" w:eastAsia="宋体" w:cs="宋体"/>
          <w:spacing w:val="7"/>
          <w:sz w:val="20"/>
          <w:szCs w:val="20"/>
        </w:rPr>
        <w:t>图</w:t>
      </w:r>
      <w:r>
        <w:rPr>
          <w:rFonts w:ascii="宋体" w:hAnsi="宋体" w:eastAsia="宋体" w:cs="宋体"/>
          <w:spacing w:val="-25"/>
          <w:sz w:val="20"/>
          <w:szCs w:val="20"/>
        </w:rPr>
        <w:t xml:space="preserve"> </w:t>
      </w:r>
      <w:r>
        <w:rPr>
          <w:rFonts w:ascii="Calibri" w:hAnsi="Calibri" w:eastAsia="Calibri" w:cs="Calibri"/>
          <w:spacing w:val="7"/>
          <w:sz w:val="20"/>
          <w:szCs w:val="20"/>
        </w:rPr>
        <w:t>2</w:t>
      </w:r>
      <w:r>
        <w:rPr>
          <w:rFonts w:ascii="Calibri" w:hAnsi="Calibri" w:eastAsia="Calibri" w:cs="Calibri"/>
          <w:spacing w:val="17"/>
          <w:sz w:val="20"/>
          <w:szCs w:val="20"/>
        </w:rPr>
        <w:t xml:space="preserve"> </w:t>
      </w:r>
      <w:r>
        <w:rPr>
          <w:rFonts w:ascii="宋体" w:hAnsi="宋体" w:eastAsia="宋体" w:cs="宋体"/>
          <w:spacing w:val="7"/>
          <w:sz w:val="20"/>
          <w:szCs w:val="20"/>
        </w:rPr>
        <w:t>来源：</w:t>
      </w:r>
      <w:r>
        <w:rPr>
          <w:rFonts w:ascii="Calibri" w:hAnsi="Calibri" w:eastAsia="Calibri" w:cs="Calibri"/>
          <w:sz w:val="20"/>
          <w:szCs w:val="20"/>
        </w:rPr>
        <w:t>QIN</w:t>
      </w:r>
      <w:r>
        <w:rPr>
          <w:rFonts w:ascii="Calibri" w:hAnsi="Calibri" w:eastAsia="Calibri" w:cs="Calibri"/>
          <w:spacing w:val="17"/>
          <w:sz w:val="20"/>
          <w:szCs w:val="20"/>
        </w:rPr>
        <w:t xml:space="preserve">  </w:t>
      </w:r>
      <w:r>
        <w:rPr>
          <w:rFonts w:ascii="Calibri" w:hAnsi="Calibri" w:eastAsia="Calibri" w:cs="Calibri"/>
          <w:sz w:val="20"/>
          <w:szCs w:val="20"/>
        </w:rPr>
        <w:t>Fangjun</w:t>
      </w:r>
      <w:r>
        <w:rPr>
          <w:rFonts w:ascii="Calibri" w:hAnsi="Calibri" w:eastAsia="Calibri" w:cs="Calibri"/>
          <w:spacing w:val="7"/>
          <w:sz w:val="20"/>
          <w:szCs w:val="20"/>
        </w:rPr>
        <w:t xml:space="preserve">  ,2</w:t>
      </w:r>
      <w:r>
        <w:rPr>
          <w:rFonts w:ascii="Calibri" w:hAnsi="Calibri" w:eastAsia="Calibri" w:cs="Calibri"/>
          <w:sz w:val="20"/>
          <w:szCs w:val="20"/>
        </w:rPr>
        <w:t>Hang</w:t>
      </w:r>
      <w:r>
        <w:rPr>
          <w:rFonts w:ascii="Calibri" w:hAnsi="Calibri" w:eastAsia="Calibri" w:cs="Calibri"/>
          <w:spacing w:val="7"/>
          <w:sz w:val="20"/>
          <w:szCs w:val="20"/>
        </w:rPr>
        <w:t xml:space="preserve">   </w:t>
      </w:r>
      <w:r>
        <w:rPr>
          <w:rFonts w:ascii="Calibri" w:hAnsi="Calibri" w:eastAsia="Calibri" w:cs="Calibri"/>
          <w:sz w:val="20"/>
          <w:szCs w:val="20"/>
        </w:rPr>
        <w:t>Haibo</w:t>
      </w:r>
      <w:r>
        <w:rPr>
          <w:rFonts w:ascii="Calibri" w:hAnsi="Calibri" w:eastAsia="Calibri" w:cs="Calibri"/>
          <w:spacing w:val="7"/>
          <w:sz w:val="20"/>
          <w:szCs w:val="20"/>
        </w:rPr>
        <w:t>,</w:t>
      </w:r>
      <w:r>
        <w:rPr>
          <w:rFonts w:ascii="Calibri" w:hAnsi="Calibri" w:eastAsia="Calibri" w:cs="Calibri"/>
          <w:sz w:val="20"/>
          <w:szCs w:val="20"/>
        </w:rPr>
        <w:t>CHEN</w:t>
      </w:r>
      <w:r>
        <w:rPr>
          <w:rFonts w:ascii="Calibri" w:hAnsi="Calibri" w:eastAsia="Calibri" w:cs="Calibri"/>
          <w:spacing w:val="17"/>
          <w:w w:val="101"/>
          <w:sz w:val="20"/>
          <w:szCs w:val="20"/>
        </w:rPr>
        <w:t xml:space="preserve">  </w:t>
      </w:r>
      <w:r>
        <w:rPr>
          <w:rFonts w:ascii="Calibri" w:hAnsi="Calibri" w:eastAsia="Calibri" w:cs="Calibri"/>
          <w:sz w:val="20"/>
          <w:szCs w:val="20"/>
        </w:rPr>
        <w:t>Hao</w:t>
      </w:r>
      <w:r>
        <w:rPr>
          <w:rFonts w:ascii="Calibri" w:hAnsi="Calibri" w:eastAsia="Calibri" w:cs="Calibri"/>
          <w:spacing w:val="7"/>
          <w:sz w:val="20"/>
          <w:szCs w:val="20"/>
        </w:rPr>
        <w:t>,</w:t>
      </w:r>
      <w:r>
        <w:rPr>
          <w:rFonts w:ascii="Calibri" w:hAnsi="Calibri" w:eastAsia="Calibri" w:cs="Calibri"/>
          <w:sz w:val="20"/>
          <w:szCs w:val="20"/>
        </w:rPr>
        <w:t>et</w:t>
      </w:r>
      <w:r>
        <w:rPr>
          <w:rFonts w:ascii="Calibri" w:hAnsi="Calibri" w:eastAsia="Calibri" w:cs="Calibri"/>
          <w:spacing w:val="7"/>
          <w:sz w:val="20"/>
          <w:szCs w:val="20"/>
        </w:rPr>
        <w:t xml:space="preserve">  </w:t>
      </w:r>
      <w:r>
        <w:rPr>
          <w:rFonts w:ascii="Calibri" w:hAnsi="Calibri" w:eastAsia="Calibri" w:cs="Calibri"/>
          <w:sz w:val="20"/>
          <w:szCs w:val="20"/>
        </w:rPr>
        <w:t>al</w:t>
      </w:r>
      <w:r>
        <w:rPr>
          <w:rFonts w:ascii="Calibri" w:hAnsi="Calibri" w:eastAsia="Calibri" w:cs="Calibri"/>
          <w:spacing w:val="7"/>
          <w:sz w:val="20"/>
          <w:szCs w:val="20"/>
        </w:rPr>
        <w:t>.</w:t>
      </w:r>
      <w:r>
        <w:rPr>
          <w:rFonts w:ascii="Calibri" w:hAnsi="Calibri" w:eastAsia="Calibri" w:cs="Calibri"/>
          <w:sz w:val="20"/>
          <w:szCs w:val="20"/>
        </w:rPr>
        <w:t>Research</w:t>
      </w:r>
      <w:r>
        <w:rPr>
          <w:rFonts w:ascii="Calibri" w:hAnsi="Calibri" w:eastAsia="Calibri" w:cs="Calibri"/>
          <w:spacing w:val="7"/>
          <w:sz w:val="20"/>
          <w:szCs w:val="20"/>
        </w:rPr>
        <w:t xml:space="preserve">   </w:t>
      </w:r>
      <w:r>
        <w:rPr>
          <w:rFonts w:ascii="Calibri" w:hAnsi="Calibri" w:eastAsia="Calibri" w:cs="Calibri"/>
          <w:sz w:val="20"/>
          <w:szCs w:val="20"/>
        </w:rPr>
        <w:t>Progress</w:t>
      </w:r>
      <w:r>
        <w:rPr>
          <w:rFonts w:ascii="Calibri" w:hAnsi="Calibri" w:eastAsia="Calibri" w:cs="Calibri"/>
          <w:spacing w:val="13"/>
          <w:w w:val="101"/>
          <w:sz w:val="20"/>
          <w:szCs w:val="20"/>
        </w:rPr>
        <w:t xml:space="preserve">  </w:t>
      </w:r>
      <w:r>
        <w:rPr>
          <w:rFonts w:ascii="Calibri" w:hAnsi="Calibri" w:eastAsia="Calibri" w:cs="Calibri"/>
          <w:sz w:val="20"/>
          <w:szCs w:val="20"/>
        </w:rPr>
        <w:t>on</w:t>
      </w:r>
      <w:r>
        <w:rPr>
          <w:rFonts w:ascii="Calibri" w:hAnsi="Calibri" w:eastAsia="Calibri" w:cs="Calibri"/>
          <w:spacing w:val="16"/>
          <w:w w:val="102"/>
          <w:sz w:val="20"/>
          <w:szCs w:val="20"/>
        </w:rPr>
        <w:t xml:space="preserve">  </w:t>
      </w:r>
      <w:r>
        <w:rPr>
          <w:rFonts w:ascii="Calibri" w:hAnsi="Calibri" w:eastAsia="Calibri" w:cs="Calibri"/>
          <w:sz w:val="20"/>
          <w:szCs w:val="20"/>
        </w:rPr>
        <w:t>Dynamic</w:t>
      </w:r>
      <w:r>
        <w:rPr>
          <w:rFonts w:ascii="Calibri" w:hAnsi="Calibri" w:eastAsia="Calibri" w:cs="Calibri"/>
          <w:spacing w:val="16"/>
          <w:w w:val="101"/>
          <w:sz w:val="20"/>
          <w:szCs w:val="20"/>
        </w:rPr>
        <w:t xml:space="preserve">  </w:t>
      </w:r>
      <w:r>
        <w:rPr>
          <w:rFonts w:ascii="Calibri" w:hAnsi="Calibri" w:eastAsia="Calibri" w:cs="Calibri"/>
          <w:sz w:val="20"/>
          <w:szCs w:val="20"/>
        </w:rPr>
        <w:t>Measurement</w:t>
      </w:r>
      <w:r>
        <w:rPr>
          <w:rFonts w:ascii="Calibri" w:hAnsi="Calibri" w:eastAsia="Calibri" w:cs="Calibri"/>
          <w:spacing w:val="7"/>
          <w:sz w:val="20"/>
          <w:szCs w:val="20"/>
        </w:rPr>
        <w:t xml:space="preserve">  </w:t>
      </w:r>
      <w:r>
        <w:rPr>
          <w:rFonts w:ascii="Calibri" w:hAnsi="Calibri" w:eastAsia="Calibri" w:cs="Calibri"/>
          <w:sz w:val="20"/>
          <w:szCs w:val="20"/>
        </w:rPr>
        <w:t>of Cold</w:t>
      </w:r>
      <w:r>
        <w:rPr>
          <w:rFonts w:ascii="Calibri" w:hAnsi="Calibri" w:eastAsia="Calibri" w:cs="Calibri"/>
          <w:spacing w:val="7"/>
          <w:sz w:val="20"/>
          <w:szCs w:val="20"/>
        </w:rPr>
        <w:t xml:space="preserve">  </w:t>
      </w:r>
      <w:r>
        <w:rPr>
          <w:rFonts w:ascii="Calibri" w:hAnsi="Calibri" w:eastAsia="Calibri" w:cs="Calibri"/>
          <w:sz w:val="20"/>
          <w:szCs w:val="20"/>
        </w:rPr>
        <w:t>Atom</w:t>
      </w:r>
      <w:r>
        <w:rPr>
          <w:rFonts w:ascii="Calibri" w:hAnsi="Calibri" w:eastAsia="Calibri" w:cs="Calibri"/>
          <w:spacing w:val="7"/>
          <w:sz w:val="20"/>
          <w:szCs w:val="20"/>
        </w:rPr>
        <w:t xml:space="preserve">  </w:t>
      </w:r>
      <w:r>
        <w:rPr>
          <w:rFonts w:ascii="Calibri" w:hAnsi="Calibri" w:eastAsia="Calibri" w:cs="Calibri"/>
          <w:sz w:val="20"/>
          <w:szCs w:val="20"/>
        </w:rPr>
        <w:t>Gravimeter</w:t>
      </w:r>
      <w:r>
        <w:rPr>
          <w:rFonts w:ascii="Calibri" w:hAnsi="Calibri" w:eastAsia="Calibri" w:cs="Calibri"/>
          <w:spacing w:val="7"/>
          <w:sz w:val="20"/>
          <w:szCs w:val="20"/>
        </w:rPr>
        <w:t>[J].</w:t>
      </w:r>
      <w:r>
        <w:rPr>
          <w:rFonts w:ascii="Calibri" w:hAnsi="Calibri" w:eastAsia="Calibri" w:cs="Calibri"/>
          <w:sz w:val="20"/>
          <w:szCs w:val="20"/>
        </w:rPr>
        <w:t>Geomatics</w:t>
      </w:r>
      <w:r>
        <w:rPr>
          <w:rFonts w:ascii="Calibri" w:hAnsi="Calibri" w:eastAsia="Calibri" w:cs="Calibri"/>
          <w:spacing w:val="13"/>
          <w:sz w:val="20"/>
          <w:szCs w:val="20"/>
        </w:rPr>
        <w:t xml:space="preserve">  </w:t>
      </w:r>
      <w:r>
        <w:rPr>
          <w:rFonts w:ascii="Calibri" w:hAnsi="Calibri" w:eastAsia="Calibri" w:cs="Calibri"/>
          <w:sz w:val="20"/>
          <w:szCs w:val="20"/>
        </w:rPr>
        <w:t>and</w:t>
      </w:r>
      <w:r>
        <w:rPr>
          <w:rFonts w:ascii="Calibri" w:hAnsi="Calibri" w:eastAsia="Calibri" w:cs="Calibri"/>
          <w:spacing w:val="7"/>
          <w:sz w:val="20"/>
          <w:szCs w:val="20"/>
        </w:rPr>
        <w:t xml:space="preserve">   </w:t>
      </w:r>
      <w:r>
        <w:rPr>
          <w:rFonts w:ascii="Calibri" w:hAnsi="Calibri" w:eastAsia="Calibri" w:cs="Calibri"/>
          <w:sz w:val="20"/>
          <w:szCs w:val="20"/>
        </w:rPr>
        <w:t>Information</w:t>
      </w:r>
      <w:r>
        <w:rPr>
          <w:rFonts w:ascii="Calibri" w:hAnsi="Calibri" w:eastAsia="Calibri" w:cs="Calibri"/>
          <w:spacing w:val="7"/>
          <w:sz w:val="20"/>
          <w:szCs w:val="20"/>
        </w:rPr>
        <w:t xml:space="preserve">  </w:t>
      </w:r>
      <w:r>
        <w:rPr>
          <w:rFonts w:ascii="Calibri" w:hAnsi="Calibri" w:eastAsia="Calibri" w:cs="Calibri"/>
          <w:sz w:val="20"/>
          <w:szCs w:val="20"/>
        </w:rPr>
        <w:t>Science</w:t>
      </w:r>
      <w:r>
        <w:rPr>
          <w:rFonts w:ascii="Calibri" w:hAnsi="Calibri" w:eastAsia="Calibri" w:cs="Calibri"/>
          <w:spacing w:val="7"/>
          <w:sz w:val="20"/>
          <w:szCs w:val="20"/>
        </w:rPr>
        <w:t xml:space="preserve">   </w:t>
      </w:r>
      <w:r>
        <w:rPr>
          <w:rFonts w:ascii="Calibri" w:hAnsi="Calibri" w:eastAsia="Calibri" w:cs="Calibri"/>
          <w:sz w:val="20"/>
          <w:szCs w:val="20"/>
        </w:rPr>
        <w:t>of</w:t>
      </w:r>
      <w:r>
        <w:rPr>
          <w:rFonts w:ascii="Calibri" w:hAnsi="Calibri" w:eastAsia="Calibri" w:cs="Calibri"/>
          <w:spacing w:val="7"/>
          <w:sz w:val="20"/>
          <w:szCs w:val="20"/>
        </w:rPr>
        <w:t xml:space="preserve">  </w:t>
      </w:r>
      <w:r>
        <w:rPr>
          <w:rFonts w:ascii="Calibri" w:hAnsi="Calibri" w:eastAsia="Calibri" w:cs="Calibri"/>
          <w:sz w:val="20"/>
          <w:szCs w:val="20"/>
        </w:rPr>
        <w:t>Wuhan</w:t>
      </w:r>
      <w:r>
        <w:rPr>
          <w:rFonts w:ascii="Calibri" w:hAnsi="Calibri" w:eastAsia="Calibri" w:cs="Calibri"/>
          <w:spacing w:val="7"/>
          <w:sz w:val="20"/>
          <w:szCs w:val="20"/>
        </w:rPr>
        <w:t xml:space="preserve">   </w:t>
      </w:r>
      <w:r>
        <w:rPr>
          <w:rFonts w:ascii="Calibri" w:hAnsi="Calibri" w:eastAsia="Calibri" w:cs="Calibri"/>
          <w:sz w:val="20"/>
          <w:szCs w:val="20"/>
        </w:rPr>
        <w:t>University</w:t>
      </w:r>
      <w:r>
        <w:rPr>
          <w:rFonts w:ascii="Calibri" w:hAnsi="Calibri" w:eastAsia="Calibri" w:cs="Calibri"/>
          <w:spacing w:val="7"/>
          <w:sz w:val="20"/>
          <w:szCs w:val="20"/>
        </w:rPr>
        <w:t>,2024,49(11):2016-2027.D</w:t>
      </w:r>
      <w:r>
        <w:rPr>
          <w:rFonts w:ascii="Calibri" w:hAnsi="Calibri" w:eastAsia="Calibri" w:cs="Calibri"/>
          <w:sz w:val="20"/>
          <w:szCs w:val="20"/>
        </w:rPr>
        <w:t xml:space="preserve"> </w:t>
      </w:r>
      <w:r>
        <w:rPr>
          <w:rFonts w:ascii="Calibri" w:hAnsi="Calibri" w:eastAsia="Calibri" w:cs="Calibri"/>
          <w:spacing w:val="5"/>
          <w:sz w:val="20"/>
          <w:szCs w:val="20"/>
        </w:rPr>
        <w:t>01:10.13203/i.</w:t>
      </w:r>
      <w:r>
        <w:rPr>
          <w:rFonts w:ascii="Calibri" w:hAnsi="Calibri" w:eastAsia="Calibri" w:cs="Calibri"/>
          <w:sz w:val="20"/>
          <w:szCs w:val="20"/>
        </w:rPr>
        <w:t>whugis</w:t>
      </w:r>
      <w:r>
        <w:rPr>
          <w:rFonts w:ascii="Calibri" w:hAnsi="Calibri" w:eastAsia="Calibri" w:cs="Calibri"/>
          <w:spacing w:val="5"/>
          <w:sz w:val="20"/>
          <w:szCs w:val="20"/>
        </w:rPr>
        <w:t>20240245</w:t>
      </w:r>
    </w:p>
    <w:p w14:paraId="2B6F550C">
      <w:pPr>
        <w:spacing w:before="19" w:line="279" w:lineRule="exact"/>
        <w:ind w:left="12"/>
        <w:rPr>
          <w:rFonts w:ascii="Calibri" w:hAnsi="Calibri" w:eastAsia="Calibri" w:cs="Calibri"/>
          <w:sz w:val="20"/>
          <w:szCs w:val="20"/>
        </w:rPr>
      </w:pPr>
      <w:r>
        <w:rPr>
          <w:rFonts w:ascii="Calibri" w:hAnsi="Calibri" w:eastAsia="Calibri" w:cs="Calibri"/>
          <w:spacing w:val="10"/>
          <w:position w:val="2"/>
          <w:sz w:val="20"/>
          <w:szCs w:val="20"/>
        </w:rPr>
        <w:t>[3]</w:t>
      </w:r>
      <w:r>
        <w:rPr>
          <w:rFonts w:ascii="宋体" w:hAnsi="宋体" w:eastAsia="宋体" w:cs="宋体"/>
          <w:spacing w:val="10"/>
          <w:position w:val="2"/>
          <w:sz w:val="20"/>
          <w:szCs w:val="20"/>
        </w:rPr>
        <w:t>图</w:t>
      </w:r>
      <w:r>
        <w:rPr>
          <w:rFonts w:ascii="宋体" w:hAnsi="宋体" w:eastAsia="宋体" w:cs="宋体"/>
          <w:spacing w:val="-34"/>
          <w:position w:val="2"/>
          <w:sz w:val="20"/>
          <w:szCs w:val="20"/>
        </w:rPr>
        <w:t xml:space="preserve"> </w:t>
      </w:r>
      <w:r>
        <w:rPr>
          <w:rFonts w:ascii="Calibri" w:hAnsi="Calibri" w:eastAsia="Calibri" w:cs="Calibri"/>
          <w:spacing w:val="10"/>
          <w:position w:val="2"/>
          <w:sz w:val="20"/>
          <w:szCs w:val="20"/>
        </w:rPr>
        <w:t>3</w:t>
      </w:r>
      <w:r>
        <w:rPr>
          <w:rFonts w:ascii="Calibri" w:hAnsi="Calibri" w:eastAsia="Calibri" w:cs="Calibri"/>
          <w:spacing w:val="16"/>
          <w:w w:val="101"/>
          <w:position w:val="2"/>
          <w:sz w:val="20"/>
          <w:szCs w:val="20"/>
        </w:rPr>
        <w:t xml:space="preserve"> </w:t>
      </w:r>
      <w:r>
        <w:rPr>
          <w:rFonts w:ascii="宋体" w:hAnsi="宋体" w:eastAsia="宋体" w:cs="宋体"/>
          <w:spacing w:val="10"/>
          <w:position w:val="2"/>
          <w:sz w:val="20"/>
          <w:szCs w:val="20"/>
        </w:rPr>
        <w:t>来源：</w:t>
      </w:r>
      <w:r>
        <w:fldChar w:fldCharType="begin"/>
      </w:r>
      <w:r>
        <w:instrText xml:space="preserve"> HYPERLINK "https://www.ewbang.com/community/article/details/961453450.html" </w:instrText>
      </w:r>
      <w:r>
        <w:fldChar w:fldCharType="separate"/>
      </w:r>
      <w:r>
        <w:rPr>
          <w:rFonts w:ascii="Calibri" w:hAnsi="Calibri" w:eastAsia="Calibri" w:cs="Calibri"/>
          <w:position w:val="2"/>
          <w:sz w:val="20"/>
          <w:szCs w:val="20"/>
        </w:rPr>
        <w:t>https</w:t>
      </w:r>
      <w:r>
        <w:rPr>
          <w:rFonts w:ascii="Calibri" w:hAnsi="Calibri" w:eastAsia="Calibri" w:cs="Calibri"/>
          <w:spacing w:val="10"/>
          <w:position w:val="2"/>
          <w:sz w:val="20"/>
          <w:szCs w:val="20"/>
        </w:rPr>
        <w:t>://</w:t>
      </w:r>
      <w:r>
        <w:rPr>
          <w:rFonts w:ascii="Calibri" w:hAnsi="Calibri" w:eastAsia="Calibri" w:cs="Calibri"/>
          <w:position w:val="2"/>
          <w:sz w:val="20"/>
          <w:szCs w:val="20"/>
        </w:rPr>
        <w:t>www</w:t>
      </w:r>
      <w:r>
        <w:rPr>
          <w:rFonts w:ascii="Calibri" w:hAnsi="Calibri" w:eastAsia="Calibri" w:cs="Calibri"/>
          <w:spacing w:val="10"/>
          <w:position w:val="2"/>
          <w:sz w:val="20"/>
          <w:szCs w:val="20"/>
        </w:rPr>
        <w:t>.</w:t>
      </w:r>
      <w:r>
        <w:rPr>
          <w:rFonts w:ascii="Calibri" w:hAnsi="Calibri" w:eastAsia="Calibri" w:cs="Calibri"/>
          <w:position w:val="2"/>
          <w:sz w:val="20"/>
          <w:szCs w:val="20"/>
        </w:rPr>
        <w:t>ewbang</w:t>
      </w:r>
      <w:r>
        <w:rPr>
          <w:rFonts w:ascii="Calibri" w:hAnsi="Calibri" w:eastAsia="Calibri" w:cs="Calibri"/>
          <w:spacing w:val="10"/>
          <w:position w:val="2"/>
          <w:sz w:val="20"/>
          <w:szCs w:val="20"/>
        </w:rPr>
        <w:t>.</w:t>
      </w:r>
      <w:r>
        <w:rPr>
          <w:rFonts w:ascii="Calibri" w:hAnsi="Calibri" w:eastAsia="Calibri" w:cs="Calibri"/>
          <w:position w:val="2"/>
          <w:sz w:val="20"/>
          <w:szCs w:val="20"/>
        </w:rPr>
        <w:t>com</w:t>
      </w:r>
      <w:r>
        <w:rPr>
          <w:rFonts w:ascii="Calibri" w:hAnsi="Calibri" w:eastAsia="Calibri" w:cs="Calibri"/>
          <w:spacing w:val="10"/>
          <w:position w:val="2"/>
          <w:sz w:val="20"/>
          <w:szCs w:val="20"/>
        </w:rPr>
        <w:t>/</w:t>
      </w:r>
      <w:r>
        <w:rPr>
          <w:rFonts w:ascii="Calibri" w:hAnsi="Calibri" w:eastAsia="Calibri" w:cs="Calibri"/>
          <w:position w:val="2"/>
          <w:sz w:val="20"/>
          <w:szCs w:val="20"/>
        </w:rPr>
        <w:t>community</w:t>
      </w:r>
      <w:r>
        <w:rPr>
          <w:rFonts w:ascii="Calibri" w:hAnsi="Calibri" w:eastAsia="Calibri" w:cs="Calibri"/>
          <w:spacing w:val="10"/>
          <w:position w:val="2"/>
          <w:sz w:val="20"/>
          <w:szCs w:val="20"/>
        </w:rPr>
        <w:t>/</w:t>
      </w:r>
      <w:r>
        <w:rPr>
          <w:rFonts w:ascii="Calibri" w:hAnsi="Calibri" w:eastAsia="Calibri" w:cs="Calibri"/>
          <w:position w:val="2"/>
          <w:sz w:val="20"/>
          <w:szCs w:val="20"/>
        </w:rPr>
        <w:t>article</w:t>
      </w:r>
      <w:r>
        <w:rPr>
          <w:rFonts w:ascii="Calibri" w:hAnsi="Calibri" w:eastAsia="Calibri" w:cs="Calibri"/>
          <w:spacing w:val="10"/>
          <w:position w:val="2"/>
          <w:sz w:val="20"/>
          <w:szCs w:val="20"/>
        </w:rPr>
        <w:t>/</w:t>
      </w:r>
      <w:r>
        <w:rPr>
          <w:rFonts w:ascii="Calibri" w:hAnsi="Calibri" w:eastAsia="Calibri" w:cs="Calibri"/>
          <w:position w:val="2"/>
          <w:sz w:val="20"/>
          <w:szCs w:val="20"/>
        </w:rPr>
        <w:t>details</w:t>
      </w:r>
      <w:r>
        <w:rPr>
          <w:rFonts w:ascii="Calibri" w:hAnsi="Calibri" w:eastAsia="Calibri" w:cs="Calibri"/>
          <w:spacing w:val="10"/>
          <w:position w:val="2"/>
          <w:sz w:val="20"/>
          <w:szCs w:val="20"/>
        </w:rPr>
        <w:t>/96145</w:t>
      </w:r>
      <w:r>
        <w:rPr>
          <w:rFonts w:ascii="Calibri" w:hAnsi="Calibri" w:eastAsia="Calibri" w:cs="Calibri"/>
          <w:spacing w:val="9"/>
          <w:position w:val="2"/>
          <w:sz w:val="20"/>
          <w:szCs w:val="20"/>
        </w:rPr>
        <w:t>3450.</w:t>
      </w:r>
      <w:r>
        <w:rPr>
          <w:rFonts w:ascii="Calibri" w:hAnsi="Calibri" w:eastAsia="Calibri" w:cs="Calibri"/>
          <w:position w:val="2"/>
          <w:sz w:val="20"/>
          <w:szCs w:val="20"/>
        </w:rPr>
        <w:t>html</w:t>
      </w:r>
      <w:r>
        <w:rPr>
          <w:rFonts w:ascii="Calibri" w:hAnsi="Calibri" w:eastAsia="Calibri" w:cs="Calibri"/>
          <w:position w:val="2"/>
          <w:sz w:val="20"/>
          <w:szCs w:val="20"/>
        </w:rPr>
        <w:fldChar w:fldCharType="end"/>
      </w:r>
    </w:p>
    <w:sectPr>
      <w:pgSz w:w="11906" w:h="16839"/>
      <w:pgMar w:top="1247" w:right="1130" w:bottom="0" w:left="114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579216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24"/>
      <w:szCs w:val="2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3141</Words>
  <Characters>3676</Characters>
  <TotalTime>0</TotalTime>
  <ScaleCrop>false</ScaleCrop>
  <LinksUpToDate>false</LinksUpToDate>
  <CharactersWithSpaces>3899</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2025-01-12T23:54:00Z</dcterms:created>
  <dc:creator>吴武林</dc:creator>
  <cp:lastModifiedBy>陌&amp;千歌</cp:lastModifiedBy>
  <dcterms:modified xsi:type="dcterms:W3CDTF">2026-03-05T10:52:21Z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2026-03-05T18:52:08Z</vt:filetime>
  </property>
  <property fmtid="{D5CDD505-2E9C-101B-9397-08002B2CF9AE}" pid="4" name="KSOTemplateDocerSaveRecord">
    <vt:lpwstr>eyJoZGlkIjoiMjA3NTdmMjhlNTY3ZDU2NzdkM2RkMTQxOWZiYTJiZTciLCJ1c2VySWQiOiIxNTE3NjE5Mjc3In0=</vt:lpwstr>
  </property>
  <property fmtid="{D5CDD505-2E9C-101B-9397-08002B2CF9AE}" pid="5" name="KSOProductBuildVer">
    <vt:lpwstr>2052-12.1.0.25225</vt:lpwstr>
  </property>
  <property fmtid="{D5CDD505-2E9C-101B-9397-08002B2CF9AE}" pid="6" name="ICV">
    <vt:lpwstr>34BA02D215CB43A285717230F3207CF4_12</vt:lpwstr>
  </property>
</Properties>
</file>