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Service Description (SD) </w:t>
      </w:r>
      <w:r>
        <w:rPr>
          <w:rFonts w:eastAsia="Arial Unicode MS" w:cs="Arial Unicode MS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48"/>
          <w:sz w:val="48"/>
          <w:szCs w:val="48"/>
          <w:u w:val="none" w:color="000000"/>
          <w:vertAlign w:val="baseline"/>
          <w:lang w:val="en-US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wm-data</w:t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A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-1905</wp:posOffset>
                </wp:positionH>
                <wp:positionV relativeFrom="page">
                  <wp:posOffset>6441440</wp:posOffset>
                </wp:positionV>
                <wp:extent cx="5603240" cy="2884170"/>
                <wp:effectExtent l="0" t="0" r="0" b="0"/>
                <wp:wrapSquare wrapText="bothSides"/>
                <wp:docPr id="1" name="officeArt object" descr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0" cy="28836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tabs>
                                <w:tab w:val="clear" w:pos="720"/>
                                <w:tab w:val="left" w:pos="1304" w:leader="none"/>
                                <w:tab w:val="left" w:pos="2608" w:leader="none"/>
                                <w:tab w:val="left" w:pos="3912" w:leader="none"/>
                                <w:tab w:val="left" w:pos="5216" w:leader="none"/>
                                <w:tab w:val="left" w:pos="6520" w:leader="none"/>
                                <w:tab w:val="left" w:pos="7824" w:leader="none"/>
                              </w:tabs>
                              <w:rPr>
                                <w:rFonts w:ascii="Calibri" w:hAnsi="Calibri" w:eastAsia="Calibri" w:cs="Calibri"/>
                                <w:b/>
                                <w:b/>
                                <w:bCs/>
                                <w:sz w:val="24"/>
                                <w:szCs w:val="24"/>
                                <w:u w:val="none"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  <w:u w:val="none" w:color="000000"/>
                                <w:lang w:val="en-US"/>
                              </w:rPr>
                              <w:t>Abstract</w:t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u w:val="none" w:color="000000"/>
                                <w:lang w:val="en-US"/>
                              </w:rPr>
                              <w:t xml:space="preserve">The wm-data provider gets sensor data from an active windmill and provides a wm-data service where </w:t>
                            </w:r>
                            <w:r>
                              <w:rPr>
                                <w:rFonts w:eastAsia="Arial Unicode MS" w:cs="Arial Unicode M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 w:color="000000"/>
                                <w:shd w:fill="auto" w:val="clear"/>
                                <w:vertAlign w:val="baseline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 then stores the data in the DataManager’s historian service.</w:t>
                            </w:r>
                          </w:p>
                          <w:p>
                            <w:pPr>
                              <w:pStyle w:val="Body"/>
                              <w:rPr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-0.15pt;margin-top:507.2pt;width:441.1pt;height:227pt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BodyA"/>
                        <w:tabs>
                          <w:tab w:val="clear" w:pos="720"/>
                          <w:tab w:val="left" w:pos="1304" w:leader="none"/>
                          <w:tab w:val="left" w:pos="2608" w:leader="none"/>
                          <w:tab w:val="left" w:pos="3912" w:leader="none"/>
                          <w:tab w:val="left" w:pos="5216" w:leader="none"/>
                          <w:tab w:val="left" w:pos="6520" w:leader="none"/>
                          <w:tab w:val="left" w:pos="7824" w:leader="none"/>
                        </w:tabs>
                        <w:rPr>
                          <w:rFonts w:ascii="Calibri" w:hAnsi="Calibri" w:eastAsia="Calibri" w:cs="Calibri"/>
                          <w:b/>
                          <w:b/>
                          <w:bCs/>
                          <w:sz w:val="24"/>
                          <w:szCs w:val="24"/>
                          <w:u w:val="none" w:color="00000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  <w:u w:val="none" w:color="000000"/>
                          <w:lang w:val="en-US"/>
                        </w:rPr>
                        <w:t>Abstract</w:t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>
                          <w:u w:val="none" w:color="000000"/>
                        </w:rPr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>
                          <w:u w:val="none" w:color="000000"/>
                          <w:lang w:val="en-US"/>
                        </w:rPr>
                        <w:t xml:space="preserve">The wm-data provider gets sensor data from an active windmill and provides a wm-data service where </w:t>
                      </w:r>
                      <w:r>
                        <w:rPr>
                          <w:rFonts w:eastAsia="Arial Unicode MS" w:cs="Arial Unicode M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color w:val="000000"/>
                          <w:spacing w:val="0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 w:color="000000"/>
                          <w:shd w:fill="auto" w:val="clear"/>
                          <w:vertAlign w:val="baseline"/>
                          <w:lang w:val="en-US"/>
                          <w14:textOutline>
                            <w14:noFill/>
                          </w14:textOutline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 then stores the data in the DataManager’s historian service.</w:t>
                      </w:r>
                    </w:p>
                    <w:p>
                      <w:pPr>
                        <w:pStyle w:val="Body"/>
                        <w:rPr>
                          <w:u w:val="none" w:color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Description Overview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 wm-data provides one interface only</w:t>
      </w:r>
    </w:p>
    <w:p>
      <w:pPr>
        <w:pStyle w:val="Heading2"/>
        <w:numPr>
          <w:ilvl w:val="0"/>
          <w:numId w:val="12"/>
        </w:numPr>
        <w:rPr>
          <w:lang w:val="de-DE"/>
        </w:rPr>
      </w:pPr>
      <w:r>
        <w:rPr>
          <w:lang w:val="de-DE"/>
        </w:rPr>
        <w:t>Abstract Interfaces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Heading2"/>
        <w:numPr>
          <w:ilvl w:val="1"/>
          <w:numId w:val="12"/>
        </w:numPr>
        <w:rPr>
          <w:lang w:val="en-US"/>
        </w:rPr>
      </w:pPr>
      <w:r>
        <w:rPr>
          <w:lang w:val="en-US"/>
        </w:rPr>
        <w:t>Interface 1</w:t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This interfaces provides the requested sensor data from the windmill. </w:t>
      </w:r>
    </w:p>
    <w:p>
      <w:pPr>
        <w:pStyle w:val="Heading2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Function</w:t>
      </w:r>
    </w:p>
    <w:p>
      <w:pPr>
        <w:pStyle w:val="Normal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When a request is received it takes the next value from the CSV file which contains the sensor data for the wind turbine.</w:t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/>
      </w:r>
    </w:p>
    <w:p>
      <w:pPr>
        <w:pStyle w:val="Body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 w:color="000000"/>
          <w:vertAlign w:val="baseline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4"/>
          <w:sz w:val="24"/>
          <w:szCs w:val="24"/>
          <w:u w:val="none" w:color="000000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The data is then parsed into a SenML message and is sent to the DataManager’s historian service for storing in the database. Then the data is sent to the consumer as a DTO.</w:t>
      </w:r>
    </w:p>
    <w:p>
      <w:pPr>
        <w:pStyle w:val="Heading2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Sequence Diagrams</w:t>
      </w:r>
    </w:p>
    <w:p>
      <w:pPr>
        <w:pStyle w:val="BodyB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59690</wp:posOffset>
            </wp:positionH>
            <wp:positionV relativeFrom="paragraph">
              <wp:posOffset>455930</wp:posOffset>
            </wp:positionV>
            <wp:extent cx="6120130" cy="47288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B"/>
        <w:rPr>
          <w:lang w:val="en-US"/>
        </w:rPr>
      </w:pPr>
      <w:r>
        <w:rPr>
          <w:lang w:val="en-US"/>
        </w:rPr>
      </w:r>
    </w:p>
    <w:p>
      <w:pPr>
        <w:pStyle w:val="Body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Heading2"/>
        <w:numPr>
          <w:ilvl w:val="2"/>
          <w:numId w:val="13"/>
        </w:numPr>
        <w:rPr>
          <w:lang w:val="de-DE"/>
        </w:rPr>
      </w:pPr>
      <w:r>
        <w:rPr>
          <w:lang w:val="de-DE"/>
        </w:rPr>
        <w:t xml:space="preserve"> </w:t>
      </w:r>
      <w:r>
        <w:rPr>
          <w:lang w:val="de-DE"/>
        </w:rPr>
        <w:t>Abstract Information Model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Timestamp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In years since measurement started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Speed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Revolutions per minute of the main rotor axle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0"/>
          <w:numId w:val="3"/>
        </w:numPr>
        <w:spacing w:before="0" w:after="0"/>
        <w:rPr/>
      </w:pPr>
      <w:r>
        <w:rPr/>
        <w:t>Acceleration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Time series Gs measured in the main rotor bearing</w:t>
      </w:r>
    </w:p>
    <w:p>
      <w:pPr>
        <w:pStyle w:val="Body"/>
        <w:numPr>
          <w:ilvl w:val="1"/>
          <w:numId w:val="3"/>
        </w:numPr>
        <w:spacing w:before="0" w:after="0"/>
        <w:rPr/>
      </w:pPr>
      <w:r>
        <w:rPr/>
        <w:t>Type: double</w:t>
      </w:r>
    </w:p>
    <w:p>
      <w:pPr>
        <w:pStyle w:val="Body"/>
        <w:numPr>
          <w:ilvl w:val="1"/>
          <w:numId w:val="3"/>
        </w:numPr>
        <w:rPr/>
      </w:pPr>
      <w:r>
        <w:rPr/>
        <w:t>Will be a collection of 16384 measurements for the given data point.</w:t>
      </w:r>
    </w:p>
    <w:p>
      <w:pPr>
        <w:pStyle w:val="Body"/>
        <w:rPr>
          <w:u w:val="none" w:color="000000"/>
        </w:rPr>
      </w:pPr>
      <w:r>
        <w:rPr>
          <w:u w:val="none" w:color="000000"/>
        </w:rPr>
      </w:r>
    </w:p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</w:r>
    </w:p>
    <w:p>
      <w:pPr>
        <w:pStyle w:val="Body"/>
        <w:numPr>
          <w:ilvl w:val="0"/>
          <w:numId w:val="14"/>
        </w:numPr>
        <w:bidi w:val="0"/>
        <w:spacing w:lineRule="exact" w:line="480" w:before="360" w:after="160"/>
        <w:ind w:left="357" w:right="0" w:hanging="357"/>
        <w:jc w:val="left"/>
        <w:outlineLvl w:val="0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false"/>
          <w:color w:val="000000"/>
          <w:sz w:val="48"/>
          <w:szCs w:val="48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Non-functional Requirements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Describe requirements regarding QoS, response time, resources, reliability, etc. This section lists the non-functional requirements that can be implemented by the service. Note that some of these requirements can be optional.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This section reports, for example, the reliability targets that must be respected by the service in a particular use case. For example, a service can offer acknowledgment to service requests in a use case, and act on a best effort base in another use case.</w:t>
      </w:r>
    </w:p>
    <w:p>
      <w:pPr>
        <w:pStyle w:val="BodyB"/>
        <w:spacing w:before="0" w:after="0"/>
        <w:jc w:val="both"/>
        <w:rPr>
          <w:rFonts w:ascii="Cambria" w:hAnsi="Cambria" w:eastAsia="Cambria" w:cs="Cambria"/>
          <w:u w:val="none" w:color="000000"/>
        </w:rPr>
      </w:pPr>
      <w:r>
        <w:rPr>
          <w:rFonts w:ascii="Cambria" w:hAnsi="Cambria"/>
          <w:u w:val="none" w:color="000000"/>
          <w:lang w:val="en-US"/>
        </w:rPr>
        <w:t>The following table reports multiple non-functional requirements sets, each one pertaining to a use case that are directly implemented by the service.</w:t>
      </w:r>
    </w:p>
    <w:p>
      <w:pPr>
        <w:pStyle w:val="BodyA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en-US"/>
          <w14:textFill>
            <w14:solidFill>
              <w14:srgbClr w14:val="4F81BD"/>
            </w14:solidFill>
          </w14:textFill>
        </w:rPr>
        <w:t xml:space="preserve">Table </w:t>
      </w: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sv-SE"/>
          <w14:textFill>
            <w14:solidFill>
              <w14:srgbClr w14:val="4F81BD"/>
            </w14:solidFill>
          </w14:textFill>
        </w:rPr>
        <w:t>3</w:t>
      </w:r>
      <w:r>
        <w:rPr>
          <w:rFonts w:ascii="Cambria" w:hAnsi="Cambria"/>
          <w:b/>
          <w:bCs/>
          <w:outline w:val="false"/>
          <w:color w:val="4F81BD"/>
          <w:sz w:val="18"/>
          <w:szCs w:val="18"/>
          <w:u w:val="none" w:color="4F81BD"/>
          <w:lang w:val="en-US"/>
          <w14:textFill>
            <w14:solidFill>
              <w14:srgbClr w14:val="4F81BD"/>
            </w14:solidFill>
          </w14:textFill>
        </w:rPr>
        <w:t xml:space="preserve"> Non-functional requirements description</w:t>
      </w:r>
    </w:p>
    <w:tbl>
      <w:tblPr>
        <w:tblW w:w="8635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10"/>
        <w:gridCol w:w="1509"/>
        <w:gridCol w:w="1376"/>
        <w:gridCol w:w="2270"/>
        <w:gridCol w:w="2070"/>
      </w:tblGrid>
      <w:tr>
        <w:trPr>
          <w:trHeight w:val="300" w:hRule="atLeast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Name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Description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Type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Constraints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BodyA"/>
              <w:tabs>
                <w:tab w:val="clear" w:pos="720"/>
                <w:tab w:val="left" w:pos="1304" w:leader="none"/>
              </w:tabs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Use</w:t>
            </w:r>
            <w:r>
              <w:rPr>
                <w:rFonts w:ascii="Cambria" w:hAnsi="Cambria"/>
                <w:sz w:val="24"/>
                <w:szCs w:val="24"/>
                <w:shd w:fill="auto" w:val="clear"/>
                <w:lang w:val="en-US"/>
              </w:rPr>
              <w:t>-</w:t>
            </w:r>
            <w:r>
              <w:rPr>
                <w:rFonts w:ascii="Cambria" w:hAnsi="Cambria"/>
                <w:b/>
                <w:bCs/>
                <w:sz w:val="24"/>
                <w:szCs w:val="24"/>
                <w:shd w:fill="auto" w:val="clear"/>
                <w:lang w:val="sv-SE"/>
              </w:rPr>
              <w:t>case</w:t>
            </w:r>
          </w:p>
        </w:tc>
      </w:tr>
      <w:tr>
        <w:trPr>
          <w:trHeight w:val="300" w:hRule="atLeast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</w:tr>
    </w:tbl>
    <w:p>
      <w:pPr>
        <w:pStyle w:val="Default"/>
        <w:widowControl w:val="false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0" w:after="200"/>
        <w:ind w:left="108" w:right="0" w:hanging="108"/>
        <w:rPr>
          <w:rFonts w:ascii="Cambria" w:hAnsi="Cambria" w:eastAsia="Cambria" w:cs="Cambria"/>
          <w:b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pPr>
      <w:r>
        <w:rPr>
          <w:rFonts w:eastAsia="Cambria" w:cs="Cambria" w:ascii="Cambria" w:hAnsi="Cambria"/>
          <w:b/>
          <w:bCs/>
          <w:outline w:val="false"/>
          <w:color w:val="4F81BD"/>
          <w:sz w:val="18"/>
          <w:szCs w:val="18"/>
          <w:u w:val="none" w:color="4F81BD"/>
          <w14:textFill>
            <w14:solidFill>
              <w14:srgbClr w14:val="4F81BD"/>
            </w14:solidFill>
          </w14:textFill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Body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lang w:val="en-US"/>
        </w:rPr>
        <w:t>The above table must report the non-functional requirements, by providing information such as: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Name:</w:t>
      </w:r>
      <w:r>
        <w:rPr>
          <w:rFonts w:ascii="Cambria" w:hAnsi="Cambria"/>
          <w:lang w:val="en-US"/>
        </w:rPr>
        <w:t xml:space="preserve"> The unique name (UID) of the non-functional requirement.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Description:</w:t>
      </w:r>
      <w:r>
        <w:rPr>
          <w:rFonts w:ascii="Cambria" w:hAnsi="Cambria"/>
          <w:lang w:val="en-US"/>
        </w:rPr>
        <w:t xml:space="preserve"> A description of the non-functional requirement.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Type:</w:t>
      </w:r>
      <w:r>
        <w:rPr>
          <w:rFonts w:ascii="Cambria" w:hAnsi="Cambria"/>
          <w:lang w:val="en-US"/>
        </w:rPr>
        <w:t xml:space="preserve"> The type of the non-functional requirement (e.g., hardware, software, performance).</w:t>
      </w:r>
    </w:p>
    <w:p>
      <w:pPr>
        <w:pStyle w:val="BodyA"/>
        <w:numPr>
          <w:ilvl w:val="0"/>
          <w:numId w:val="2"/>
        </w:numPr>
        <w:bidi w:val="0"/>
        <w:spacing w:before="0" w:after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Constraints:</w:t>
      </w:r>
      <w:r>
        <w:rPr>
          <w:rFonts w:ascii="Cambria" w:hAnsi="Cambria"/>
          <w:lang w:val="en-US"/>
        </w:rPr>
        <w:t xml:space="preserve"> Any constraints the requirement imposes to the use-case(s) (e.g., have a delay of less than 1 ms to deliver the service).</w:t>
      </w:r>
    </w:p>
    <w:p>
      <w:pPr>
        <w:pStyle w:val="BodyA"/>
        <w:numPr>
          <w:ilvl w:val="0"/>
          <w:numId w:val="2"/>
        </w:numPr>
        <w:bidi w:val="0"/>
        <w:ind w:left="180" w:right="0" w:hanging="180"/>
        <w:jc w:val="left"/>
        <w:rPr>
          <w:rFonts w:ascii="Cambria" w:hAnsi="Cambria"/>
          <w:lang w:val="en-US"/>
        </w:rPr>
      </w:pPr>
      <w:r>
        <w:rPr>
          <w:rFonts w:ascii="Cambria" w:hAnsi="Cambria"/>
          <w:b/>
          <w:bCs/>
          <w:lang w:val="en-US"/>
        </w:rPr>
        <w:t>Use-case:</w:t>
      </w:r>
      <w:r>
        <w:rPr>
          <w:rFonts w:ascii="Cambria" w:hAnsi="Cambria"/>
          <w:lang w:val="en-US"/>
        </w:rPr>
        <w:t xml:space="preserve"> Provide the ID of the use case(s) it refers to.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0"/>
          <w:numId w:val="15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lang w:val="fr-FR"/>
        </w:rPr>
        <w:tab/>
        <w:t>References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outline w:val="false"/>
          <w:color w:val="000000"/>
          <w:u w:val="none"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Any references must be placed here</w:t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0"/>
          <w:numId w:val="15"/>
        </w:numPr>
        <w:spacing w:before="400"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Revision history</w:t>
      </w:r>
    </w:p>
    <w:p>
      <w:pPr>
        <w:pStyle w:val="Heading2"/>
        <w:numPr>
          <w:ilvl w:val="1"/>
          <w:numId w:val="15"/>
        </w:numPr>
        <w:rPr>
          <w:lang w:val="en-US"/>
        </w:rPr>
      </w:pPr>
      <w:r>
        <w:rPr>
          <w:lang w:val="en-US"/>
        </w:rPr>
        <w:t>Amendments</w:t>
      </w:r>
    </w:p>
    <w:tbl>
      <w:tblPr>
        <w:tblW w:w="8771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69"/>
        <w:gridCol w:w="1780"/>
        <w:gridCol w:w="912"/>
        <w:gridCol w:w="3104"/>
        <w:gridCol w:w="2306"/>
      </w:tblGrid>
      <w:tr>
        <w:trPr>
          <w:trHeight w:val="251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  <w:tab w:val="left" w:pos="2608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Subject of Amendments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Author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2020-05-27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4.1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2020-08-17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4.2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Major update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Jerker Delsing</w:t>
            </w:r>
          </w:p>
        </w:tc>
      </w:tr>
      <w:tr>
        <w:trPr>
          <w:trHeight w:val="29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2020-0914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Minor cleaning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jens Eliasson</w:t>
            </w:r>
          </w:p>
        </w:tc>
      </w:tr>
      <w:tr>
        <w:trPr>
          <w:trHeight w:val="300" w:hRule="atLeast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2021-01-25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4.3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Added Windmill text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/>
              <w:t>Robin Jonsson</w:t>
            </w:r>
          </w:p>
        </w:tc>
      </w:tr>
    </w:tbl>
    <w:p>
      <w:pPr>
        <w:pStyle w:val="Heading2"/>
        <w:widowControl w:val="false"/>
        <w:numPr>
          <w:ilvl w:val="1"/>
          <w:numId w:val="16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outline w:val="false"/>
          <w:color w:val="000000"/>
          <w:sz w:val="22"/>
          <w:szCs w:val="22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outline w:val="false"/>
          <w:color w:val="000000"/>
          <w:sz w:val="22"/>
          <w:szCs w:val="22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p>
      <w:pPr>
        <w:pStyle w:val="Heading2"/>
        <w:numPr>
          <w:ilvl w:val="1"/>
          <w:numId w:val="17"/>
        </w:numPr>
        <w:rPr>
          <w:lang w:val="en-US"/>
        </w:rPr>
      </w:pPr>
      <w:r>
        <w:rPr>
          <w:lang w:val="en-US"/>
        </w:rPr>
        <w:t>Quality Assurance</w:t>
      </w:r>
    </w:p>
    <w:tbl>
      <w:tblPr>
        <w:tblW w:w="5799" w:type="dxa"/>
        <w:jc w:val="left"/>
        <w:tblInd w:w="216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673"/>
        <w:gridCol w:w="1844"/>
        <w:gridCol w:w="914"/>
        <w:gridCol w:w="2367"/>
      </w:tblGrid>
      <w:tr>
        <w:trPr>
          <w:trHeight w:val="251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No.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Version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Body"/>
              <w:tabs>
                <w:tab w:val="clear" w:pos="720"/>
                <w:tab w:val="left" w:pos="1304" w:leader="none"/>
              </w:tabs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sz w:val="22"/>
                <w:szCs w:val="22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Approved by</w:t>
            </w:r>
          </w:p>
        </w:tc>
      </w:tr>
      <w:tr>
        <w:trPr>
          <w:trHeight w:val="29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2020-09-15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4.2.1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8ECF3" w:val="clea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Arial Unicode MS" w:cs="Arial Unicode MS" w:ascii="Cambria" w:hAnsi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4"/>
                <w:szCs w:val="24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Jerker Delsing</w:t>
            </w:r>
          </w:p>
        </w:tc>
      </w:tr>
      <w:tr>
        <w:trPr>
          <w:trHeight w:val="29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jc w:val="both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ascii="Cambria" w:hAnsi="Cambria"/>
                <w:shd w:fill="auto" w:val="clear"/>
                <w:lang w:val="sv-SE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mbria" w:hAnsi="Cambria" w:eastAsia="Cambria" w:cs="Cambria"/>
                <w:sz w:val="24"/>
                <w:szCs w:val="24"/>
                <w:u w:val="none" w:color="000000"/>
              </w:rPr>
            </w:pPr>
            <w:r>
              <w:rPr>
                <w:rFonts w:eastAsia="Cambria" w:cs="Cambria" w:ascii="Cambria" w:hAnsi="Cambria"/>
                <w:sz w:val="24"/>
                <w:szCs w:val="24"/>
                <w:u w:val="none" w:color="000000"/>
              </w:rPr>
            </w:r>
          </w:p>
        </w:tc>
      </w:tr>
    </w:tbl>
    <w:p>
      <w:pPr>
        <w:pStyle w:val="Heading2"/>
        <w:widowControl w:val="false"/>
        <w:numPr>
          <w:ilvl w:val="1"/>
          <w:numId w:val="18"/>
        </w:numPr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sz w:val="24"/>
          <w:szCs w:val="24"/>
          <w:u w:val="none" w:color="000000"/>
        </w:rPr>
      </w:r>
    </w:p>
    <w:p>
      <w:pPr>
        <w:pStyle w:val="Default"/>
        <w:keepNext w:val="true"/>
        <w:keepLines/>
        <w:widowControl w:val="false"/>
        <w:numPr>
          <w:ilvl w:val="0"/>
          <w:numId w:val="0"/>
        </w:numPr>
        <w:tabs>
          <w:tab w:val="clear" w:pos="720"/>
          <w:tab w:val="left" w:pos="1701" w:leader="none"/>
          <w:tab w:val="left" w:pos="2268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spacing w:before="200" w:after="80"/>
        <w:ind w:left="0" w:right="0" w:hanging="0"/>
        <w:outlineLvl w:val="0"/>
        <w:rPr>
          <w:rFonts w:ascii="Calibri" w:hAnsi="Calibri" w:eastAsia="Calibri" w:cs="Calibri"/>
          <w:b/>
          <w:b/>
          <w:bCs/>
          <w:sz w:val="32"/>
          <w:szCs w:val="32"/>
          <w:u w:val="none" w:color="000000"/>
          <w:lang w:val="en-US"/>
        </w:rPr>
      </w:pPr>
      <w:r>
        <w:rPr>
          <w:rFonts w:eastAsia="Calibri" w:cs="Calibri" w:ascii="Calibri" w:hAnsi="Calibri"/>
          <w:b/>
          <w:bCs/>
          <w:sz w:val="32"/>
          <w:szCs w:val="32"/>
          <w:u w:val="none" w:color="000000"/>
          <w:lang w:val="en-US"/>
        </w:rPr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outline w:val="false"/>
          <w:color w:val="000000"/>
          <w:u w:val="none"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tabs>
          <w:tab w:val="clear" w:pos="720"/>
          <w:tab w:val="left" w:pos="1304" w:leader="none"/>
          <w:tab w:val="left" w:pos="2608" w:leader="none"/>
          <w:tab w:val="left" w:pos="3912" w:leader="none"/>
          <w:tab w:val="left" w:pos="5216" w:leader="none"/>
          <w:tab w:val="left" w:pos="6520" w:leader="none"/>
          <w:tab w:val="left" w:pos="7824" w:leader="none"/>
          <w:tab w:val="left" w:pos="9128" w:leader="none"/>
        </w:tabs>
        <w:jc w:val="both"/>
        <w:rPr>
          <w:rFonts w:ascii="Cambria" w:hAnsi="Cambria" w:eastAsia="Cambria" w:cs="Cambria"/>
          <w:sz w:val="24"/>
          <w:szCs w:val="24"/>
          <w:u w:val="none" w:color="000000"/>
        </w:rPr>
      </w:pPr>
      <w:r>
        <w:rPr>
          <w:rFonts w:eastAsia="Cambria" w:cs="Cambria" w:ascii="Cambria" w:hAnsi="Cambria"/>
          <w:outline w:val="false"/>
          <w:color w:val="000000"/>
          <w:u w:val="none" w:color="000000"/>
          <w:lang w:val="sv-S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080" w:top="1886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en-US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</w:t>
    </w:r>
    <w:r>
      <w:rPr>
        <w:rFonts w:eastAsia="Arial Unicode MS" w:cs="Arial Unicode MS" w:ascii="Times New Roman" w:hAnsi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outline w:val="false"/>
        <w:emboss w:val="false"/>
        <w:imprint w:val="false"/>
        <w:vanish w:val="false"/>
        <w:color w:val="000000"/>
        <w:spacing w:val="0"/>
        <w:w w:val="100"/>
        <w:kern w:val="0"/>
        <w:position w:val="0"/>
        <w:sz w:val="22"/>
        <w:sz w:val="22"/>
        <w:szCs w:val="22"/>
        <w:u w:val="none" w:color="000000"/>
        <w:shd w:fill="auto" w:val="clear"/>
        <w:vertAlign w:val="baseline"/>
        <w:lang w:val="en-US" w:eastAsia="zh-CN" w:bidi="hi-IN"/>
        <w14:textOutline w14:w="12700" w14:cap="flat">
          <w14:noFill/>
          <w14:miter w14:lim="400000"/>
        </w14:textOutline>
        <w14:textFill>
          <w14:solidFill>
            <w14:srgbClr w14:val="000000"/>
          </w14:solidFill>
        </w14:textFill>
      </w:rPr>
      <w:t>Windmill 1</w:t>
    </w:r>
    <w:r>
      <w:rPr>
        <w:rFonts w:ascii="Times New Roman" w:hAnsi="Times New Roman"/>
        <w:sz w:val="22"/>
        <w:szCs w:val="22"/>
        <w:lang w:val="en-US"/>
      </w:rPr>
      <w:t xml:space="preserve"> SD</w:t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> PAGE </w:instrText>
    </w:r>
    <w:r>
      <w:rPr>
        <w:lang w:val="en-US"/>
      </w:rPr>
      <w:fldChar w:fldCharType="separate"/>
    </w:r>
    <w:r>
      <w:rPr>
        <w:lang w:val="en-US"/>
      </w:rPr>
      <w:t>6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> NUMPAGES </w:instrText>
    </w:r>
    <w:r>
      <w:rPr>
        <w:lang w:val="en-US"/>
      </w:rPr>
      <w:fldChar w:fldCharType="separate"/>
    </w:r>
    <w:r>
      <w:rPr>
        <w:lang w:val="en-US"/>
      </w:rPr>
      <w:t>6</w:t>
    </w:r>
    <w:r>
      <w:rPr>
        <w:lang w:val="en-US"/>
      </w:rPr>
      <w:fldChar w:fldCharType="end"/>
    </w:r>
    <w:r>
      <w:rPr>
        <w:rFonts w:eastAsia="Times New Roman" w:cs="Times New Roman" w:ascii="Times New Roman" w:hAnsi="Times New Roman"/>
        <w:sz w:val="22"/>
        <w:szCs w:val="22"/>
        <w:lang w:val="en-US"/>
      </w:rPr>
      <w:tab/>
    </w:r>
    <w:r>
      <w:rPr/>
      <w:drawing>
        <wp:inline distT="0" distB="0" distL="0" distR="0">
          <wp:extent cx="899795" cy="899795"/>
          <wp:effectExtent l="0" t="0" r="0" b="0"/>
          <wp:docPr id="4" name="officeArt object" descr="Arrow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fficeArt object" descr="Arrow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4.3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>
      <w:rPr>
        <w:rFonts w:ascii="Times New Roman" w:hAnsi="Times New Roman"/>
        <w:b/>
        <w:bCs/>
        <w:sz w:val="22"/>
        <w:szCs w:val="22"/>
        <w:lang w:val="en-US"/>
      </w:rPr>
      <w:t>:</w:t>
    </w:r>
    <w:r>
      <w:rPr>
        <w:rFonts w:ascii="Times New Roman" w:hAnsi="Times New Roman"/>
        <w:sz w:val="22"/>
        <w:szCs w:val="22"/>
        <w:lang w:val="en-US"/>
      </w:rPr>
      <w:t xml:space="preserve"> for approval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>
      <w:rPr>
        <w:rFonts w:ascii="Times New Roman" w:hAnsi="Times New Roman"/>
        <w:b/>
        <w:bCs/>
        <w:sz w:val="22"/>
        <w:szCs w:val="22"/>
        <w:lang w:val="en-US"/>
      </w:rPr>
      <w:t xml:space="preserve">: </w:t>
    </w:r>
    <w:r>
      <w:rPr>
        <w:rFonts w:ascii="Times New Roman" w:hAnsi="Times New Roman"/>
        <w:sz w:val="22"/>
        <w:szCs w:val="22"/>
        <w:lang w:val="en-US"/>
      </w:rPr>
      <w:t>2021-01-28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>
        <w:rFonts w:ascii="Times New Roman" w:hAnsi="Times New Roman" w:eastAsia="Times New Roman" w:cs="Times New Roman"/>
        <w:sz w:val="22"/>
        <w:szCs w:val="22"/>
        <w:lang w:val="en-US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>
      <w:rPr>
        <w:rFonts w:ascii="Times New Roman" w:hAnsi="Times New Roman"/>
        <w:sz w:val="22"/>
        <w:szCs w:val="22"/>
        <w:lang w:val="en-US"/>
      </w:rPr>
      <w:t>: Robin Jonsson</w:t>
    </w:r>
  </w:p>
  <w:p>
    <w:pPr>
      <w:pStyle w:val="HeaderFooterA"/>
      <w:tabs>
        <w:tab w:val="clear" w:pos="9020"/>
        <w:tab w:val="center" w:pos="4819" w:leader="none"/>
        <w:tab w:val="right" w:pos="9612" w:leader="none"/>
      </w:tabs>
      <w:rPr/>
    </w:pPr>
    <w:r>
      <w:rPr>
        <w:rFonts w:ascii="Times New Roman" w:hAnsi="Times New Roman"/>
        <w:b/>
        <w:bCs/>
        <w:sz w:val="22"/>
        <w:szCs w:val="22"/>
        <w:lang w:val="en-US"/>
      </w:rPr>
      <w:t xml:space="preserve">Contact: </w:t>
    </w:r>
    <w:r>
      <w:rPr>
        <w:rFonts w:ascii="Times New Roman" w:hAnsi="Times New Roman"/>
        <w:b w:val="false"/>
        <w:bCs w:val="false"/>
        <w:sz w:val="22"/>
        <w:szCs w:val="22"/>
        <w:lang w:val="en-US"/>
      </w:rPr>
      <w:t>jonrob-3@student.ltu.se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2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56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2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28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64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0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36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21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180" w:hanging="180"/>
      </w:pPr>
      <w:rPr>
        <w:rFonts w:ascii="Cambria" w:hAnsi="Cambria" w:cs="Cambria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360" w:hanging="180"/>
      </w:pPr>
      <w:rPr>
        <w:rFonts w:ascii="Cambria" w:hAnsi="Cambria" w:cs="Cambria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540" w:hanging="180"/>
      </w:pPr>
      <w:rPr>
        <w:rFonts w:ascii="Cambria" w:hAnsi="Cambria" w:cs="Cambria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720" w:hanging="180"/>
      </w:pPr>
      <w:rPr>
        <w:rFonts w:ascii="Cambria" w:hAnsi="Cambria" w:cs="Cambria" w:hint="default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900" w:hanging="180"/>
      </w:pPr>
      <w:rPr>
        <w:rFonts w:ascii="Cambria" w:hAnsi="Cambria" w:cs="Cambria" w:hint="default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080" w:hanging="180"/>
      </w:pPr>
      <w:rPr>
        <w:rFonts w:ascii="Cambria" w:hAnsi="Cambria" w:cs="Cambria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1260" w:hanging="180"/>
      </w:pPr>
      <w:rPr>
        <w:rFonts w:ascii="Cambria" w:hAnsi="Cambria" w:cs="Cambria" w:hint="default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1440" w:hanging="180"/>
      </w:pPr>
      <w:rPr>
        <w:rFonts w:ascii="Cambria" w:hAnsi="Cambria" w:cs="Cambria" w:hint="default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1620" w:hanging="180"/>
      </w:pPr>
      <w:rPr>
        <w:rFonts w:ascii="Cambria" w:hAnsi="Cambria" w:cs="Cambria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56" w:hanging="7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9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85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21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7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9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9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65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56" w:hanging="75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14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7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214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250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86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322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3588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3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65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1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7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3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9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5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11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4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6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42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7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7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253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28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2"/>
      <w:numFmt w:val="decimal"/>
      <w:suff w:val="nothing"/>
      <w:lvlText w:val="%1.%2."/>
      <w:lvlJc w:val="left"/>
      <w:pPr>
        <w:tabs>
          <w:tab w:val="num" w:pos="0"/>
        </w:tabs>
        <w:ind w:left="1134" w:hanging="113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2049" w:hanging="16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98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34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70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067" w:hanging="2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362" w:hanging="420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193" w:hanging="467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1242" w:hanging="124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2157" w:hanging="17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109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145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181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2175" w:hanging="37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6470" w:hanging="431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7301" w:hanging="478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56" w:hanging="75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149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85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221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57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9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29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365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56" w:hanging="756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14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78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214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250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86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322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3588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4">
    <w:abstractNumId w:val="1"/>
    <w:lvlOverride w:ilvl="0">
      <w:lvl w:ilvl="0">
        <w:start w:val="3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5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1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7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3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9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5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11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5">
    <w:abstractNumId w:val="1"/>
    <w:lvlOverride w:ilvl="0">
      <w:lvl w:ilvl="0">
        <w:start w:val="4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6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42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7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6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7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253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28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2"/>
        <w:numFmt w:val="decimal"/>
        <w:suff w:val="nothing"/>
        <w:lvlText w:val="%1.%2."/>
        <w:lvlJc w:val="left"/>
        <w:pPr>
          <w:tabs>
            <w:tab w:val="num" w:pos="0"/>
          </w:tabs>
          <w:ind w:left="1134" w:hanging="1134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049" w:hanging="1689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98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34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70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067" w:hanging="26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362" w:hanging="420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193" w:hanging="4673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  <w:num w:numId="18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357" w:hanging="35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num" w:pos="0"/>
          </w:tabs>
          <w:ind w:left="1242" w:hanging="1242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num" w:pos="0"/>
          </w:tabs>
          <w:ind w:left="2157" w:hanging="1797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num" w:pos="0"/>
          </w:tabs>
          <w:ind w:left="109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num" w:pos="0"/>
          </w:tabs>
          <w:ind w:left="145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num" w:pos="0"/>
          </w:tabs>
          <w:ind w:left="181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num" w:pos="0"/>
          </w:tabs>
          <w:ind w:left="2175" w:hanging="375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num" w:pos="0"/>
          </w:tabs>
          <w:ind w:left="6470" w:hanging="4310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num" w:pos="0"/>
          </w:tabs>
          <w:ind w:left="7301" w:hanging="4781"/>
        </w:pPr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4"/>
          <w:sz w:val="24"/>
          <w:spacing w:val="0"/>
          <w:kern w:val="0"/>
          <w:w w:val="100"/>
          <w:emboss w:val="false"/>
          <w:imprint w:val="false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B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00" w:afterAutospacing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8"/>
      <w:sz w:val="48"/>
      <w:szCs w:val="48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Link">
    <w:name w:val="Link"/>
    <w:qFormat/>
    <w:rPr>
      <w:outline w:val="false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0">
    <w:name w:val="Hyperlink.0"/>
    <w:basedOn w:val="Link"/>
    <w:qFormat/>
    <w:rPr>
      <w:rFonts w:ascii="Times New Roman" w:hAnsi="Times New Roman" w:eastAsia="Times New Roman" w:cs="Times New Roman"/>
      <w:sz w:val="22"/>
      <w:szCs w:val="2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A">
    <w:name w:val="Header &amp; Footer A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sv-SE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B">
    <w:name w:val="Body B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72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Arrowhead2">
    <w:name w:val="Arrowhead2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Bullet">
    <w:name w:val="Bull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LibreOffice/6.4.6.2$Linux_X86_64 LibreOffice_project/40$Build-2</Application>
  <Pages>6</Pages>
  <Words>449</Words>
  <Characters>2421</Characters>
  <CharactersWithSpaces>2771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2021-01-28T18:20:45Z</dcterms:modified>
  <cp:revision>7</cp:revision>
  <dc:subject/>
  <dc:title/>
</cp:coreProperties>
</file>