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Service Description (SD) Template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ge">
                  <wp:posOffset>6441440</wp:posOffset>
                </wp:positionV>
                <wp:extent cx="5601970" cy="2882900"/>
                <wp:effectExtent l="0" t="0" r="0" b="0"/>
                <wp:wrapSquare wrapText="bothSides"/>
                <wp:docPr id="1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28821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  <w:lang w:val="en-US"/>
                              </w:rPr>
                              <w:t xml:space="preserve">The wm-data provider gets sensor data from an active windmill and provides a wm-data service where 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0"/>
                                <w:shd w:fill="auto" w:val="clear"/>
                                <w:vertAlign w:val="baseline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 then stores the data in the DataManager’s historian service.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15pt;margin-top:507.2pt;width:441pt;height:226.9pt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rPr>
                          <w:rFonts w:ascii="Calibri" w:hAnsi="Calibri" w:eastAsia="Calibri" w:cs="Calibri"/>
                          <w:b/>
                          <w:b/>
                          <w:bCs/>
                          <w:sz w:val="24"/>
                          <w:szCs w:val="24"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</w:rPr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  <w:lang w:val="en-US"/>
                        </w:rPr>
                        <w:t xml:space="preserve">The wm-data provider gets sensor data from an active windmill and provides a wm-data service where 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 w:color="000000"/>
                          <w:shd w:fill="auto" w:val="clear"/>
                          <w:vertAlign w:val="baseline"/>
                          <w:lang w:val="en-US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 then stores the data in the DataManager’s historian service.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Description Overview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wm-data provides one interface only</w:t>
      </w:r>
    </w:p>
    <w:p>
      <w:pPr>
        <w:pStyle w:val="Heading2"/>
        <w:numPr>
          <w:ilvl w:val="0"/>
          <w:numId w:val="12"/>
        </w:numPr>
        <w:rPr>
          <w:lang w:val="de-DE"/>
        </w:rPr>
      </w:pPr>
      <w:r>
        <w:rPr>
          <w:lang w:val="de-DE"/>
        </w:rPr>
        <w:t>Abstract Interfaces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 xml:space="preserve">Every interface should be described in a separate section. A more detailed description of the Overview section diagrams is suggested. 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>Every function included in the interface should also be presented and explained in a subsection for each interface. Sequence diagrams might be included to give a clearer view on functions</w:t>
      </w:r>
      <w:r>
        <w:rPr>
          <w:u w:val="none" w:color="000000"/>
        </w:rPr>
        <w:t xml:space="preserve">’ </w:t>
      </w:r>
      <w:r>
        <w:rPr>
          <w:u w:val="none" w:color="000000"/>
          <w:lang w:val="fr-FR"/>
        </w:rPr>
        <w:t xml:space="preserve">usage. </w:t>
      </w:r>
    </w:p>
    <w:p>
      <w:pPr>
        <w:pStyle w:val="Body"/>
        <w:rPr>
          <w:u w:val="none" w:color="000000"/>
        </w:rPr>
      </w:pPr>
      <w:r>
        <w:rPr>
          <w:u w:val="none" w:color="000000"/>
          <w:lang w:val="en-US"/>
        </w:rPr>
        <w:t>The use of UML or SysML diagrams can be an adequate solution.</w:t>
      </w:r>
    </w:p>
    <w:p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t>Interface 1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 interfaces provides the requested sensor data from the windmill. When requested it takes the data from a FIFO queue and returns it to the requester.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Function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Returns sensor data from the windmill.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Sequence Diagrams</w:t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88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2"/>
          <w:numId w:val="13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>Abstract Information Model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Timestamp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 xml:space="preserve">In years since </w:t>
      </w:r>
      <w:r>
        <w:rPr/>
        <w:t>measurement</w:t>
      </w:r>
      <w:r>
        <w:rPr/>
        <w:t xml:space="preserve"> started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Speed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Revolutions per minute of the main rotor axle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Acceleration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Time series Gs measured in the main rotor bearing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1"/>
          <w:numId w:val="3"/>
        </w:numPr>
        <w:rPr/>
      </w:pPr>
      <w:r>
        <w:rPr/>
        <w:t>Will be a collection of 16384 measurements for the given data point.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r>
    </w:p>
    <w:p>
      <w:pPr>
        <w:pStyle w:val="Body"/>
        <w:numPr>
          <w:ilvl w:val="0"/>
          <w:numId w:val="14"/>
        </w:numPr>
        <w:bidi w:val="0"/>
        <w:spacing w:lineRule="exact" w:line="480" w:before="360" w:after="160"/>
        <w:ind w:left="357" w:right="0" w:hanging="357"/>
        <w:jc w:val="left"/>
        <w:outlineLvl w:val="0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Non-functional Requirements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requirements regarding QoS, response time, resources, reliability, etc. This section lists the non-functional requirements that can be implemented by the service. Note that some of these requirements can be optional.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This section reports, for example, the reliability targets that must be respected by the service in a particular use case. For example, a service can offer acknowledgment to service requests in a use case, and act on a best effort base in another use case.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following table reports multiple non-functional requirements sets, each one pertaining to a use case that are directly implemented by the service.</w:t>
      </w:r>
    </w:p>
    <w:p>
      <w:pPr>
        <w:pStyle w:val="BodyA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Table 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3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 Non-functional requirements description</w:t>
      </w:r>
    </w:p>
    <w:tbl>
      <w:tblPr>
        <w:tblW w:w="8635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10"/>
        <w:gridCol w:w="1509"/>
        <w:gridCol w:w="1376"/>
        <w:gridCol w:w="2270"/>
        <w:gridCol w:w="2070"/>
      </w:tblGrid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Name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Description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Type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Constraints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Use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-</w:t>
            </w: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case</w:t>
            </w:r>
          </w:p>
        </w:tc>
      </w:tr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ind w:left="108" w:right="0" w:hanging="108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en-US"/>
        </w:rPr>
        <w:t>The above table must report the non-functional requirements, by providing information such as: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Name:</w:t>
      </w:r>
      <w:r>
        <w:rPr>
          <w:rFonts w:ascii="Cambria" w:hAnsi="Cambria"/>
          <w:lang w:val="en-US"/>
        </w:rPr>
        <w:t xml:space="preserve"> The unique name (UID)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Description:</w:t>
      </w:r>
      <w:r>
        <w:rPr>
          <w:rFonts w:ascii="Cambria" w:hAnsi="Cambria"/>
          <w:lang w:val="en-US"/>
        </w:rPr>
        <w:t xml:space="preserve"> A description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Type:</w:t>
      </w:r>
      <w:r>
        <w:rPr>
          <w:rFonts w:ascii="Cambria" w:hAnsi="Cambria"/>
          <w:lang w:val="en-US"/>
        </w:rPr>
        <w:t xml:space="preserve"> The type of the non-functional requirement (e.g., hardware, software, performance).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Constraints:</w:t>
      </w:r>
      <w:r>
        <w:rPr>
          <w:rFonts w:ascii="Cambria" w:hAnsi="Cambria"/>
          <w:lang w:val="en-US"/>
        </w:rPr>
        <w:t xml:space="preserve"> Any constraints the requirement imposes to the use-case(s) (e.g., have a delay of less than 1 ms to deliver the service).</w:t>
      </w:r>
    </w:p>
    <w:p>
      <w:pPr>
        <w:pStyle w:val="BodyA"/>
        <w:numPr>
          <w:ilvl w:val="0"/>
          <w:numId w:val="2"/>
        </w:numPr>
        <w:bidi w:val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Use-case:</w:t>
      </w:r>
      <w:r>
        <w:rPr>
          <w:rFonts w:ascii="Cambria" w:hAnsi="Cambria"/>
          <w:lang w:val="en-US"/>
        </w:rPr>
        <w:t xml:space="preserve"> Provide the ID of the use case(s) it refers to.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fr-FR"/>
        </w:rPr>
        <w:tab/>
        <w:t>References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false"/>
          <w:color w:val="000000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 references must be placed here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spacing w:before="40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Revision history</w:t>
      </w:r>
    </w:p>
    <w:p>
      <w:pPr>
        <w:pStyle w:val="Heading2"/>
        <w:numPr>
          <w:ilvl w:val="1"/>
          <w:numId w:val="15"/>
        </w:numPr>
        <w:rPr>
          <w:lang w:val="en-US"/>
        </w:rPr>
      </w:pPr>
      <w:r>
        <w:rPr>
          <w:lang w:val="en-US"/>
        </w:rPr>
        <w:t>Amendments</w:t>
      </w:r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9"/>
        <w:gridCol w:w="1782"/>
        <w:gridCol w:w="912"/>
        <w:gridCol w:w="3102"/>
        <w:gridCol w:w="2306"/>
      </w:tblGrid>
      <w:tr>
        <w:trPr>
          <w:trHeight w:val="251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Author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2020-05-27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2020-08-17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2020-0914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Minor cleaning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jens Eliasson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4.3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Added Windmill text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Robin Jonsson</w:t>
            </w:r>
          </w:p>
        </w:tc>
      </w:tr>
    </w:tbl>
    <w:p>
      <w:pPr>
        <w:pStyle w:val="Heading2"/>
        <w:widowControl w:val="false"/>
        <w:numPr>
          <w:ilvl w:val="1"/>
          <w:numId w:val="16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1"/>
          <w:numId w:val="17"/>
        </w:numPr>
        <w:rPr>
          <w:lang w:val="en-US"/>
        </w:rPr>
      </w:pPr>
      <w:r>
        <w:rPr>
          <w:lang w:val="en-US"/>
        </w:rPr>
        <w:t>Quality Assurance</w:t>
      </w:r>
    </w:p>
    <w:tbl>
      <w:tblPr>
        <w:tblW w:w="579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3"/>
        <w:gridCol w:w="1844"/>
        <w:gridCol w:w="914"/>
        <w:gridCol w:w="2367"/>
      </w:tblGrid>
      <w:tr>
        <w:trPr>
          <w:trHeight w:val="2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Approved by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2020-09-15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Heading2"/>
        <w:widowControl w:val="false"/>
        <w:numPr>
          <w:ilvl w:val="1"/>
          <w:numId w:val="18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keepNext w:val="true"/>
        <w:keepLines/>
        <w:widowControl w:val="false"/>
        <w:numPr>
          <w:ilvl w:val="0"/>
          <w:numId w:val="0"/>
        </w:numPr>
        <w:tabs>
          <w:tab w:val="clear" w:pos="720"/>
          <w:tab w:val="left" w:pos="1701" w:leader="none"/>
          <w:tab w:val="left" w:pos="2268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200" w:after="80"/>
        <w:ind w:left="0" w:right="0" w:hanging="0"/>
        <w:outlineLvl w:val="0"/>
        <w:rPr>
          <w:rFonts w:ascii="Calibri" w:hAnsi="Calibri" w:eastAsia="Calibri" w:cs="Calibri"/>
          <w:b/>
          <w:b/>
          <w:bCs/>
          <w:sz w:val="32"/>
          <w:szCs w:val="32"/>
          <w:u w:val="none" w:color="000000"/>
          <w:lang w:val="en-US"/>
        </w:rPr>
      </w:pPr>
      <w:r>
        <w:rPr>
          <w:rFonts w:eastAsia="Calibri" w:cs="Calibri" w:ascii="Calibri" w:hAnsi="Calibri"/>
          <w:b/>
          <w:bCs/>
          <w:sz w:val="32"/>
          <w:szCs w:val="32"/>
          <w:u w:val="none" w:color="000000"/>
          <w:lang w:val="en-US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080" w:top="1886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Arrowhead Tools SD template</w:t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> PAGE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> NUMPAGES </w:instrText>
    </w:r>
    <w:r>
      <w:rPr>
        <w:lang w:val="en-US"/>
      </w:rPr>
      <w:fldChar w:fldCharType="separate"/>
    </w:r>
    <w:r>
      <w:rPr>
        <w:lang w:val="en-US"/>
      </w:rPr>
      <w:t>5</w:t>
    </w:r>
    <w:r>
      <w:rPr>
        <w:lang w:val="en-US"/>
      </w:rPr>
      <w:fldChar w:fldCharType="end"/>
    </w:r>
    <w:r>
      <w:rPr>
        <w:rFonts w:eastAsia="Times New Roman" w:cs="Times New Roman" w:ascii="Times New Roman" w:hAnsi="Times New Roman"/>
        <w:sz w:val="22"/>
        <w:szCs w:val="22"/>
        <w:lang w:val="en-US"/>
      </w:rPr>
      <w:tab/>
    </w:r>
    <w:r>
      <w:rPr/>
      <w:drawing>
        <wp:inline distT="0" distB="0" distL="0" distR="0">
          <wp:extent cx="899795" cy="899795"/>
          <wp:effectExtent l="0" t="0" r="0" b="0"/>
          <wp:docPr id="4" name="officeArt object" descr="Arrow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Arrow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4.2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2020-08-17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>: Jerker Delsing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hyperlink r:id="rId2">
      <w:r>
        <w:rPr>
          <w:rStyle w:val="Hyperlink0"/>
          <w:rFonts w:ascii="Times New Roman" w:hAnsi="Times New Roman"/>
          <w:sz w:val="22"/>
          <w:szCs w:val="22"/>
          <w:lang w:val="en-US"/>
        </w:rPr>
        <w:t>Jerker.delsing@ltu.se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2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80" w:hanging="180"/>
      </w:pPr>
      <w:rPr>
        <w:rFonts w:ascii="Cambria" w:hAnsi="Cambria" w:cs="Cambria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180"/>
      </w:pPr>
      <w:rPr>
        <w:rFonts w:ascii="Cambria" w:hAnsi="Cambria" w:cs="Cambria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540" w:hanging="180"/>
      </w:pPr>
      <w:rPr>
        <w:rFonts w:ascii="Cambria" w:hAnsi="Cambria" w:cs="Cambria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720" w:hanging="180"/>
      </w:pPr>
      <w:rPr>
        <w:rFonts w:ascii="Cambria" w:hAnsi="Cambria" w:cs="Cambria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900" w:hanging="180"/>
      </w:pPr>
      <w:rPr>
        <w:rFonts w:ascii="Cambria" w:hAnsi="Cambria" w:cs="Cambria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080" w:hanging="180"/>
      </w:pPr>
      <w:rPr>
        <w:rFonts w:ascii="Cambria" w:hAnsi="Cambria" w:cs="Cambria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260" w:hanging="180"/>
      </w:pPr>
      <w:rPr>
        <w:rFonts w:ascii="Cambria" w:hAnsi="Cambria" w:cs="Cambria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1440" w:hanging="180"/>
      </w:pPr>
      <w:rPr>
        <w:rFonts w:ascii="Cambria" w:hAnsi="Cambria" w:cs="Cambria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1620" w:hanging="180"/>
      </w:pPr>
      <w:rPr>
        <w:rFonts w:ascii="Cambria" w:hAnsi="Cambria" w:cs="Cambria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8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21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7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9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6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14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0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6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7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3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9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049" w:hanging="16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362" w:hanging="42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193" w:hanging="467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157" w:hanging="17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470" w:hanging="431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301" w:hanging="478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8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21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7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9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6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14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0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86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5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1"/>
    <w:lvlOverride w:ilvl="0">
      <w:lvl w:ilvl="0">
        <w:start w:val="3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7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3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9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1"/>
    <w:lvlOverride w:ilvl="0">
      <w:lvl w:ilvl="0">
        <w:start w:val="4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049" w:hanging="1689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362" w:hanging="420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193" w:hanging="4673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157" w:hanging="179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470" w:hanging="431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301" w:hanging="478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B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0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8"/>
      <w:sz w:val="48"/>
      <w:szCs w:val="4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sz w:val="22"/>
      <w:szCs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A">
    <w:name w:val="Header &amp; Footer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Jerker.delsing@ltu.se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5</Pages>
  <Words>479</Words>
  <Characters>2625</Characters>
  <CharactersWithSpaces>3004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2021-01-26T18:35:38Z</dcterms:modified>
  <cp:revision>3</cp:revision>
  <dc:subject/>
  <dc:title/>
</cp:coreProperties>
</file>