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left"/>
        <w:rPr>
          <w:b/>
          <w:b/>
          <w:bCs/>
          <w:sz w:val="60"/>
          <w:szCs w:val="60"/>
        </w:rPr>
      </w:pPr>
      <w:bookmarkStart w:id="0" w:name="_Toc"/>
      <w:r>
        <w:rPr>
          <w:rFonts w:ascii="Calibri" w:hAnsi="Calibri"/>
          <w:b/>
          <w:bCs/>
          <w:sz w:val="48"/>
          <w:szCs w:val="48"/>
          <w:lang w:val="en-US"/>
        </w:rPr>
        <w:t>System Description (SysD) Temp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5864860</wp:posOffset>
            </wp:positionH>
            <wp:positionV relativeFrom="page">
              <wp:posOffset>492760</wp:posOffset>
            </wp:positionV>
            <wp:extent cx="899795" cy="899795"/>
            <wp:effectExtent l="0" t="0" r="0" b="0"/>
            <wp:wrapNone/>
            <wp:docPr id="1" name="officeArt object" descr="Arro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rrowhe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48"/>
          <w:szCs w:val="48"/>
          <w:lang w:val="en-US"/>
        </w:rPr>
        <w:t>l</w:t>
      </w:r>
      <w:r>
        <w:rPr>
          <w:rFonts w:ascii="Calibri" w:hAnsi="Calibri"/>
          <w:b/>
          <w:bCs/>
          <w:sz w:val="48"/>
          <w:szCs w:val="48"/>
          <w:lang w:val="en-US"/>
        </w:rPr>
        <w:t>ate – Black Box Design</w:t>
      </w:r>
      <w:bookmarkEnd w:id="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5795" cy="2585720"/>
                <wp:effectExtent l="0" t="0" r="0" b="0"/>
                <wp:wrapSquare wrapText="bothSides"/>
                <wp:docPr id="2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80" cy="25851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</w:rPr>
                              <w:t>This document provides a black box design overview of the Windmill local cloud system. The system consists of one provider and one consumer.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25pt;margin-top:542pt;width:450.75pt;height:203.5pt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rPr>
                          <w:rFonts w:ascii="Calibri" w:hAnsi="Calibri" w:eastAsia="Calibri" w:cs="Calibri"/>
                          <w:b/>
                          <w:b/>
                          <w:bCs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val="none" w:color="000000"/>
                          <w:lang w:val="en-US"/>
                        </w:rPr>
                        <w:t>This document provides a black box design overview of the Windmill local cloud system. The system consists of one provider and one consumer.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BodyB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fldChar w:fldCharType="begin"/>
          </w:r>
          <w:r>
            <w:rPr>
              <w:u w:val="none" w:color="000000"/>
              <w:rFonts w:eastAsia="Arial Unicode MS" w:cs="Arial Unicode MS" w:ascii="Arial Unicode MS" w:hAnsi="Arial Unicode MS"/>
            </w:rPr>
            <w:instrText> TOC \o "1-1" \t "Title,2" </w:instrText>
          </w:r>
          <w:r>
            <w:rPr>
              <w:u w:val="none" w:color="000000"/>
              <w:rFonts w:eastAsia="Arial Unicode MS" w:cs="Arial Unicode MS" w:ascii="Arial Unicode MS" w:hAnsi="Arial Unicode MS"/>
            </w:rPr>
            <w:fldChar w:fldCharType="separate"/>
          </w:r>
          <w:r>
            <w:rPr>
              <w:rFonts w:eastAsia="Arial Unicode MS" w:cs="Arial Unicode MS" w:ascii="Arial Unicode MS" w:hAnsi="Arial Unicode MS"/>
              <w:u w:val="none" w:color="000000"/>
            </w:rPr>
          </w:r>
        </w:p>
        <w:p>
          <w:pPr>
            <w:pStyle w:val="Contents2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(SysD) Template – Black Box Design</w:t>
            <w:tab/>
          </w:r>
          <w:r>
            <w:rPr>
              <w:rFonts w:eastAsia="Arial Unicode MS" w:cs="Arial Unicode MS"/>
            </w:rPr>
            <w:t>1</w:t>
          </w:r>
        </w:p>
        <w:p>
          <w:pPr>
            <w:pStyle w:val="Contents1"/>
            <w:numPr>
              <w:ilvl w:val="1"/>
              <w:numId w:val="1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Overview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0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Use-cases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1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Behaviour Diagrams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Produced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4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Consumed Services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5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Sequence Diagrams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0"/>
              <w:numId w:val="6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 Objectives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pt-PT"/>
            </w:rPr>
            <w:t>Assets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Non-technical Security Requirements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8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fr-FR"/>
            </w:rPr>
            <w:t>References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Revision history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Amendments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9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Quality Assurance</w:t>
            <w:tab/>
          </w:r>
          <w:r>
            <w:rPr>
              <w:rFonts w:eastAsia="Arial Unicode MS" w:cs="Arial Unicode MS"/>
            </w:rPr>
            <w:t>7</w:t>
          </w:r>
          <w:r>
            <w:rPr>
              <w:rFonts w:eastAsia="Arial Unicode MS" w:cs="Arial Unicode MS"/>
            </w:rPr>
            <w:fldChar w:fldCharType="end"/>
          </w:r>
        </w:p>
      </w:sdtContent>
    </w:sdt>
    <w:p>
      <w:pPr>
        <w:pStyle w:val="BodyB"/>
        <w:keepNext w:val="false"/>
        <w:keepLines w:val="false"/>
        <w:pageBreakBefore w:val="false"/>
        <w:widowControl/>
        <w:suppressAutoHyphens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  <w:r>
        <w:br w:type="page"/>
      </w:r>
    </w:p>
    <w:p>
      <w:pPr>
        <w:pStyle w:val="BodyA"/>
        <w:spacing w:lineRule="auto" w:line="24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</w:r>
    </w:p>
    <w:p>
      <w:pPr>
        <w:pStyle w:val="Heading"/>
        <w:numPr>
          <w:ilvl w:val="1"/>
          <w:numId w:val="10"/>
        </w:numPr>
        <w:rPr/>
      </w:pPr>
      <w:bookmarkStart w:id="1" w:name="_Toc1"/>
      <w:bookmarkStart w:id="2" w:name="BKM_4E0AA8D6_DCA4_4A57_9FCB_F7DBEA2D04A8"/>
      <w:bookmarkEnd w:id="2"/>
      <w:r>
        <w:rPr/>
        <w:t>S</w:t>
      </w:r>
      <w:r>
        <w:rPr>
          <w:lang w:val="en-US"/>
        </w:rPr>
        <w:t>ystem Description Overview</w:t>
      </w:r>
      <w:bookmarkEnd w:id="1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ascii="Cambria" w:hAnsi="Cambria"/>
          <w:sz w:val="24"/>
          <w:szCs w:val="24"/>
          <w:u w:val="none" w:color="000000"/>
          <w:lang w:val="en-US"/>
        </w:rPr>
        <w:t>The system provides one service wm-data.</w:t>
      </w:r>
      <w:r>
        <w:rPr>
          <w:rFonts w:eastAsia="Cambria" w:cs="Cambria" w:ascii="Cambria" w:hAnsi="Cambria"/>
          <w:sz w:val="24"/>
          <w:szCs w:val="24"/>
          <w:u w:val="none" w:color="000000"/>
          <w:lang w:val="en-US"/>
        </w:rPr>
        <w:t xml:space="preserve"> </w:t>
      </w:r>
      <w:r>
        <w:rPr>
          <w:rFonts w:eastAsia="Cambria" w:cs="Cambria" w:ascii="Cambria" w:hAnsi="Cambria"/>
          <w:sz w:val="24"/>
          <w:szCs w:val="24"/>
          <w:u w:val="none" w:color="000000"/>
          <w:lang w:val="en-US"/>
        </w:rPr>
        <w:t>That provides sensory data from an windmill. The data consists of the windmills speed, time since start of measurments, and a time series of the number of Gs measured in the windmills main bearing. The time series consist of 16384 measurements.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0"/>
          <w:numId w:val="21"/>
        </w:numPr>
        <w:rPr/>
      </w:pPr>
      <w:bookmarkStart w:id="3" w:name="_Toc2"/>
      <w:r>
        <w:rPr>
          <w:lang w:val="en-US"/>
        </w:rPr>
        <w:t xml:space="preserve">Use-cases </w:t>
      </w:r>
      <w:bookmarkEnd w:id="3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typical use cases e.g. using UML use cases diagrams, which can be realised by the system. Only add this section if relevant in relation to SoSD document. Each use-case description should follow the structure defined in Table 1.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1 Use-case description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771"/>
      </w:tblGrid>
      <w:tr>
        <w:trPr>
          <w:trHeight w:val="303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rFonts w:eastAsia="Arial Unicode MS" w:cs="Arial Unicode MS"/>
                <w:shd w:fill="auto" w:val="clear"/>
                <w:lang w:val="en-US"/>
              </w:rPr>
              <w:t>Name of the Use-case</w:t>
            </w:r>
            <w:r>
              <w:rPr>
                <w:rFonts w:eastAsia="Arial Unicode MS" w:cs="Arial Unicode MS"/>
                <w:shd w:fill="auto" w:val="clear"/>
                <w:lang w:val="sv-SE"/>
              </w:rPr>
              <w:t>: Provider stores data requested by consumer in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Brief description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The provider gets request from consumer and sends the data to both the DataManager and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Primary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Provider, Consume</w:t>
            </w: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r</w:t>
            </w: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,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Secondary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Preconditions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Request from the consumer</w:t>
            </w:r>
          </w:p>
        </w:tc>
      </w:tr>
      <w:tr>
        <w:trPr>
          <w:trHeight w:val="311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Main flow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/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receives request from a consumer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performs a request to DataManager’s historian services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stored in the DataManager database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sent to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Postconditions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Alternative flows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Eliminating the consumer from the flow. E.g make the process driven by the provider instead when it receives new data from the windmill. (Since I got the data as a whole csv file I choose to have a consumer drive the process instead.)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Heading"/>
        <w:numPr>
          <w:ilvl w:val="1"/>
          <w:numId w:val="21"/>
        </w:numPr>
        <w:rPr/>
      </w:pPr>
      <w:bookmarkStart w:id="4" w:name="_Toc3"/>
      <w:r>
        <w:rPr>
          <w:lang w:val="en-US"/>
        </w:rPr>
        <w:t>Behaviour Diagrams</w:t>
      </w:r>
      <w:bookmarkEnd w:id="4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46177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0"/>
          <w:numId w:val="22"/>
        </w:numPr>
        <w:rPr/>
      </w:pPr>
      <w:bookmarkStart w:id="5" w:name="_Toc4"/>
      <w:r>
        <w:rPr>
          <w:lang w:val="sv-SE"/>
        </w:rPr>
        <w:t>System</w:t>
      </w:r>
      <w:r>
        <w:rPr>
          <w:lang w:val="en-US"/>
        </w:rPr>
        <w:t xml:space="preserve"> services</w:t>
      </w:r>
      <w:bookmarkEnd w:id="5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1"/>
          <w:numId w:val="22"/>
        </w:numPr>
        <w:rPr/>
      </w:pPr>
      <w:bookmarkStart w:id="6" w:name="_Toc5"/>
      <w:r>
        <w:rPr>
          <w:lang w:val="en-US"/>
        </w:rPr>
        <w:t>Produced Services</w:t>
      </w:r>
      <w:bookmarkEnd w:id="6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2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A description of the provided services should also be included.</w:t>
      </w:r>
    </w:p>
    <w:p>
      <w:pPr>
        <w:pStyle w:val="Heading"/>
        <w:numPr>
          <w:ilvl w:val="1"/>
          <w:numId w:val="23"/>
        </w:numPr>
        <w:rPr/>
      </w:pPr>
      <w:bookmarkStart w:id="7" w:name="_Toc6"/>
      <w:r>
        <w:rPr>
          <w:lang w:val="en-US"/>
        </w:rPr>
        <w:t>Consumed Services</w:t>
      </w:r>
      <w:bookmarkEnd w:id="7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3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SD path: \documentation\SD_windmill v4.3.docx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  <w:tab w:val="left" w:pos="3912" w:leader="none"/>
                <w:tab w:val="left" w:pos="5216" w:leader="none"/>
                <w:tab w:val="left" w:pos="6520" w:leader="none"/>
                <w:tab w:val="left" w:pos="7824" w:leader="none"/>
                <w:tab w:val="left" w:pos="8906" w:leader="none"/>
              </w:tabs>
              <w:spacing w:lineRule="atLeast" w:line="280"/>
              <w:rPr>
                <w:rFonts w:ascii="Cambria" w:hAnsi="Cambria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Windmill IDD path: \documentation\IDD_windmill v4.3.docx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4"/>
        </w:numPr>
        <w:rPr/>
      </w:pPr>
      <w:bookmarkStart w:id="8" w:name="_Toc7"/>
      <w:r>
        <w:rPr>
          <w:lang w:val="en-US"/>
        </w:rPr>
        <w:t>Sequence Diagrams</w:t>
      </w:r>
      <w:bookmarkEnd w:id="8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See 2.1</w:t>
      </w:r>
    </w:p>
    <w:p>
      <w:pPr>
        <w:pStyle w:val="Heading"/>
        <w:numPr>
          <w:ilvl w:val="0"/>
          <w:numId w:val="25"/>
        </w:numPr>
        <w:rPr/>
      </w:pPr>
      <w:bookmarkStart w:id="9" w:name="_Toc8"/>
      <w:r>
        <w:rPr>
          <w:lang w:val="en-US"/>
        </w:rPr>
        <w:t xml:space="preserve">Security </w:t>
      </w:r>
      <w:bookmarkEnd w:id="9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0" w:name="_Toc9"/>
      <w:r>
        <w:rPr>
          <w:lang w:val="en-US"/>
        </w:rPr>
        <w:t>Security Objectives</w:t>
      </w:r>
      <w:bookmarkEnd w:id="1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system uses HTTP over TLS to encrypt the requests and transmission. No other payload encryption is implemented currently.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 terms of availability, the system stores the data in the DataManager which ensures the availability of data at all times. As long as the Arrowhead core services aren’t compromised.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Integrity, data can not be altered as the system is designed right now. There is a possibility of data loss if an authorized system deletes data from the DataManager, in that case though the system deleting data needs to have the proper security credentials.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Confidentiality, the system relies on TLS for communication between the different services/systems which ensures that data can only be read by authorized subjects.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1" w:name="_Toc10"/>
      <w:r>
        <w:rPr>
          <w:lang w:val="pt-PT"/>
        </w:rPr>
        <w:t>Assets</w:t>
      </w:r>
      <w:bookmarkEnd w:id="11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1"/>
          <w:numId w:val="26"/>
        </w:numPr>
        <w:rPr/>
      </w:pPr>
      <w:bookmarkStart w:id="12" w:name="_Toc11"/>
      <w:r>
        <w:rPr>
          <w:lang w:val="en-US"/>
        </w:rPr>
        <w:t>Non-technical Security Requirements</w:t>
      </w:r>
      <w:bookmarkEnd w:id="12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 xml:space="preserve">In this section the defined security objectives are applied on the assets to be protected. Please note that the technical security requirements are defined in the SysDD documentation.  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Non-technical security requirements shall be collected using a table with the following format.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4 Non-technical security requirements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192"/>
        <w:gridCol w:w="2195"/>
        <w:gridCol w:w="2171"/>
        <w:gridCol w:w="2212"/>
      </w:tblGrid>
      <w:tr>
        <w:trPr>
          <w:trHeight w:val="590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Objective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Asset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Requirement description</w:t>
            </w:r>
          </w:p>
        </w:tc>
      </w:tr>
      <w:tr>
        <w:trPr>
          <w:trHeight w:val="875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Sys_NSR1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objective</w:t>
            </w:r>
          </w:p>
          <w:p>
            <w:pPr>
              <w:pStyle w:val="BodyA"/>
              <w:tabs>
                <w:tab w:val="clear" w:pos="720"/>
                <w:tab w:val="left" w:pos="1304" w:leader="none"/>
              </w:tabs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A|I|C|Other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asset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Sys_NSR2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Sys_NSR…n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7"/>
        </w:numPr>
        <w:rPr/>
      </w:pPr>
      <w:bookmarkStart w:id="13" w:name="_Toc12"/>
      <w:r>
        <w:rPr>
          <w:lang w:val="fr-FR"/>
        </w:rPr>
        <w:t>References</w:t>
      </w:r>
      <w:bookmarkEnd w:id="13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4" w:name="Ref_WMIDD"/>
      <w:bookmarkEnd w:id="14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IDD path: \documentation\IDD_windmill v4.3.docx</w:t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5" w:name="Ref_WMSD"/>
      <w:bookmarkEnd w:id="15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SD path: \documentation\SD_windmill v4.3.docx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2"/>
        </w:numPr>
        <w:spacing w:before="300" w:after="0"/>
        <w:rPr/>
      </w:pPr>
      <w:bookmarkStart w:id="16" w:name="_Toc13"/>
      <w:r>
        <w:rPr>
          <w:lang w:val="en-US"/>
        </w:rPr>
        <w:t>Revision history</w:t>
        <w:br/>
        <w:br/>
        <w:br/>
      </w:r>
      <w:bookmarkEnd w:id="16"/>
    </w:p>
    <w:p>
      <w:pPr>
        <w:pStyle w:val="Heading"/>
        <w:numPr>
          <w:ilvl w:val="1"/>
          <w:numId w:val="22"/>
        </w:numPr>
        <w:rPr/>
      </w:pPr>
      <w:bookmarkStart w:id="17" w:name="_Toc14"/>
      <w:r>
        <w:rPr>
          <w:lang w:val="en-US"/>
        </w:rPr>
        <w:t>Amendments</w:t>
      </w:r>
      <w:bookmarkEnd w:id="17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3"/>
        <w:gridCol w:w="1749"/>
        <w:gridCol w:w="1011"/>
        <w:gridCol w:w="3071"/>
        <w:gridCol w:w="2277"/>
      </w:tblGrid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Subject of Amendments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Author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20-05-27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1.0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2020-08-18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4.2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Minor updates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2021-01-25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4.3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Added Windmill text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Robin Jonsson</w:t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216" w:right="0" w:hanging="216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108" w:right="0" w:hanging="108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BodyA"/>
        <w:rPr/>
      </w:pPr>
      <w:r>
        <w:rPr/>
      </w:r>
    </w:p>
    <w:p>
      <w:pPr>
        <w:pStyle w:val="Heading"/>
        <w:numPr>
          <w:ilvl w:val="1"/>
          <w:numId w:val="28"/>
        </w:numPr>
        <w:rPr/>
      </w:pPr>
      <w:bookmarkStart w:id="18" w:name="_Toc15"/>
      <w:r>
        <w:rPr>
          <w:lang w:val="en-US"/>
        </w:rPr>
        <w:t>Quality Assurance</w:t>
      </w:r>
      <w:bookmarkEnd w:id="18"/>
    </w:p>
    <w:tbl>
      <w:tblPr>
        <w:tblW w:w="5894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4"/>
        <w:gridCol w:w="1842"/>
        <w:gridCol w:w="1009"/>
        <w:gridCol w:w="2368"/>
      </w:tblGrid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Approved by</w:t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numPr>
          <w:ilvl w:val="1"/>
          <w:numId w:val="29"/>
        </w:numPr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47" w:right="1247" w:header="720" w:top="2574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sv-SE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Arrowhead </w:t>
    </w:r>
    <w:r>
      <w:rPr>
        <w:rFonts w:ascii="Times New Roman" w:hAnsi="Times New Roman"/>
        <w:sz w:val="22"/>
        <w:szCs w:val="22"/>
        <w:lang w:val="sv-SE"/>
      </w:rPr>
      <w:t>SysD template</w:t>
      <w:tab/>
      <w:tab/>
    </w:r>
    <w:r>
      <w:rPr>
        <w:lang w:val="sv-SE"/>
      </w:rPr>
      <w:t xml:space="preserve"> 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4.2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sv-SE"/>
      </w:rPr>
      <w:t>:</w:t>
    </w:r>
    <w:r>
      <w:rPr>
        <w:rFonts w:ascii="Times New Roman" w:hAnsi="Times New Roman"/>
        <w:sz w:val="22"/>
        <w:szCs w:val="22"/>
        <w:lang w:val="sv-SE"/>
      </w:rPr>
      <w:t xml:space="preserve"> for approval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202008-17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sv-SE"/>
      </w:rPr>
      <w:t>: Jerker Delsing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Jerker.delsing@ltu.se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5" w:hanging="94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037" w:hanging="67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845" w:hanging="16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992" w:hanging="99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76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215" w:hanging="12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31" w:hanging="8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4327" w:hanging="21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76" w:hanging="12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3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1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9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5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217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9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  <w:lvlOverride w:ilvl="0">
      <w:lvl w:ilvl="0">
        <w:start w:val="2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2">
    <w:abstractNumId w:val="10"/>
    <w:lvlOverride w:ilvl="0">
      <w:lvl w:ilvl="0">
        <w:start w:val="3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3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276" w:hanging="127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4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3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5">
    <w:abstractNumId w:val="10"/>
    <w:lvlOverride w:ilvl="0">
      <w:lvl w:ilvl="0">
        <w:start w:val="4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7">
    <w:abstractNumId w:val="10"/>
    <w:lvlOverride w:ilvl="0">
      <w:lvl w:ilvl="0">
        <w:start w:val="5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9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350" w:hanging="135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1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9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5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217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9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Text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exact" w:line="420" w:beforeAutospacing="0" w:before="300" w:afterAutospacing="0" w:after="0"/>
      <w:ind w:left="0" w:right="0" w:hanging="0"/>
      <w:jc w:val="left"/>
      <w:outlineLvl w:val="0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center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2">
    <w:name w:val="TOC 2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Body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A">
    <w:name w:val="Caption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left" w:pos="115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2">
    <w:name w:val="Imported Style 2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8</Pages>
  <Words>650</Words>
  <Characters>3765</Characters>
  <CharactersWithSpaces>4275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2021-01-26T18:38:47Z</dcterms:modified>
  <cp:revision>6</cp:revision>
  <dc:subject/>
  <dc:title/>
</cp:coreProperties>
</file>