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Ds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10/9/23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Ds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ds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10/9/23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Seleccione0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0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00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0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0000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00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00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SIN ALTERNACIONES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