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spacing w:after="360"/>
        <w:jc w:val="center"/>
      </w:pPr>
      <w:r>
        <w:rPr>
          <w:rFonts w:ascii="Calibri" w:hAnsi="Calibri"/>
          <w:b/>
          <w:color w:val="B8663B"/>
          <w:sz w:val="21"/>
        </w:rPr>
        <w:t>MEETING REHEARSAL GUIDE</w:t>
      </w:r>
    </w:p>
    <w:p>
      <w:pPr>
        <w:spacing w:after="200"/>
        <w:jc w:val="center"/>
      </w:pPr>
      <w:r>
        <w:rPr>
          <w:rFonts w:ascii="Georgia" w:hAnsi="Georgia"/>
          <w:b/>
          <w:color w:val="203A4C"/>
          <w:sz w:val="56"/>
        </w:rPr>
        <w:t>Paper Attribution</w:t>
        <w:br/>
        <w:t>and Connection Intelligence</w:t>
      </w:r>
    </w:p>
    <w:p>
      <w:pPr>
        <w:spacing w:after="840"/>
        <w:jc w:val="center"/>
      </w:pPr>
      <w:r>
        <w:rPr>
          <w:rFonts w:ascii="Calibri" w:hAnsi="Calibri"/>
          <w:color w:val="606972"/>
          <w:sz w:val="26"/>
        </w:rPr>
        <w:t>Detailed word-for-word script for the 19-slide system walkthrough</w:t>
      </w:r>
    </w:p>
    <w:p>
      <w:pPr>
        <w:ind w:left="3024" w:right="3024"/>
        <w:jc w:val="center"/>
        <w:pBdr>
          <w:bottom w:val="single" w:sz="18" w:space="5" w:color="B8663B"/>
        </w:pBdr>
      </w:pPr>
    </w:p>
    <w:p>
      <w:pPr>
        <w:spacing w:after="80"/>
        <w:jc w:val="center"/>
      </w:pPr>
      <w:r>
        <w:rPr>
          <w:rFonts w:ascii="Calibri" w:hAnsi="Calibri"/>
          <w:b/>
          <w:color w:val="203A4C"/>
          <w:sz w:val="21"/>
        </w:rPr>
        <w:t xml:space="preserve">Estimated speaking time: </w:t>
      </w:r>
      <w:r>
        <w:rPr>
          <w:rFonts w:ascii="Calibri" w:hAnsi="Calibri"/>
          <w:color w:val="606972"/>
          <w:sz w:val="21"/>
        </w:rPr>
        <w:t>25-27 minutes, including short pauses</w:t>
      </w:r>
    </w:p>
    <w:p>
      <w:pPr>
        <w:spacing w:after="80"/>
        <w:jc w:val="center"/>
      </w:pPr>
      <w:r>
        <w:rPr>
          <w:rFonts w:ascii="Calibri" w:hAnsi="Calibri"/>
          <w:b/>
          <w:color w:val="203A4C"/>
          <w:sz w:val="21"/>
        </w:rPr>
        <w:t xml:space="preserve">Audience: </w:t>
      </w:r>
      <w:r>
        <w:rPr>
          <w:rFonts w:ascii="Calibri" w:hAnsi="Calibri"/>
          <w:color w:val="606972"/>
          <w:sz w:val="21"/>
        </w:rPr>
        <w:t>Bibliometric dataset collaborators with mixed technical backgrounds</w:t>
      </w:r>
    </w:p>
    <w:p>
      <w:pPr>
        <w:spacing w:after="80"/>
        <w:jc w:val="center"/>
      </w:pPr>
      <w:r>
        <w:rPr>
          <w:rFonts w:ascii="Calibri" w:hAnsi="Calibri"/>
          <w:b/>
          <w:color w:val="203A4C"/>
          <w:sz w:val="21"/>
        </w:rPr>
        <w:t xml:space="preserve">Companion deck: </w:t>
      </w:r>
      <w:r>
        <w:rPr>
          <w:rFonts w:ascii="Calibri" w:hAnsi="Calibri"/>
          <w:color w:val="606972"/>
          <w:sz w:val="21"/>
        </w:rPr>
        <w:t>Editable PowerPoint with the same script embedded in Speaker Notes</w:t>
      </w:r>
    </w:p>
    <w:p>
      <w:pPr>
        <w:spacing w:after="80"/>
        <w:jc w:val="center"/>
      </w:pPr>
      <w:r>
        <w:rPr>
          <w:rFonts w:ascii="Calibri" w:hAnsi="Calibri"/>
          <w:b/>
          <w:color w:val="203A4C"/>
          <w:sz w:val="21"/>
        </w:rPr>
        <w:t xml:space="preserve">Version: </w:t>
      </w:r>
      <w:r>
        <w:rPr>
          <w:rFonts w:ascii="Calibri" w:hAnsi="Calibri"/>
          <w:color w:val="606972"/>
          <w:sz w:val="21"/>
        </w:rPr>
        <w:t>July 2026</w:t>
      </w:r>
    </w:p>
    <w:p>
      <w:r>
        <w:br w:type="page"/>
      </w:r>
    </w:p>
    <w:p>
      <w:pPr>
        <w:pStyle w:val="Heading1"/>
      </w:pPr>
      <w:r>
        <w:rPr>
          <w:sz w:val="44"/>
        </w:rPr>
        <w:t>Rehearsal map</w:t>
      </w:r>
    </w:p>
    <w:p>
      <w:pPr>
        <w:spacing w:after="100" w:line="288" w:lineRule="auto"/>
      </w:pPr>
      <w:r>
        <w:rPr>
          <w:rFonts w:ascii="Calibri" w:hAnsi="Calibri"/>
          <w:b/>
          <w:color w:val="203A4C"/>
          <w:sz w:val="21"/>
        </w:rPr>
        <w:t xml:space="preserve">Slides 1-4 - Scope and attribution. </w:t>
      </w:r>
      <w:r>
        <w:rPr>
          <w:rFonts w:ascii="Calibri" w:hAnsi="Calibri"/>
          <w:color w:val="17202A"/>
          <w:sz w:val="21"/>
        </w:rPr>
        <w:t>Establish that classification is only the first decision and define the attributed paper record.</w:t>
      </w:r>
    </w:p>
    <w:p>
      <w:pPr>
        <w:spacing w:after="100" w:line="288" w:lineRule="auto"/>
      </w:pPr>
      <w:r>
        <w:rPr>
          <w:rFonts w:ascii="Calibri" w:hAnsi="Calibri"/>
          <w:b/>
          <w:color w:val="203A4C"/>
          <w:sz w:val="21"/>
        </w:rPr>
        <w:t xml:space="preserve">Slides 5-9 - Algorithms and evidence. </w:t>
      </w:r>
      <w:r>
        <w:rPr>
          <w:rFonts w:ascii="Calibri" w:hAnsi="Calibri"/>
          <w:color w:val="17202A"/>
          <w:sz w:val="21"/>
        </w:rPr>
        <w:t>Explain the gated classifier, Attribution Evidence Tree, graph paths, normalized relationship strength, and importance profiles.</w:t>
      </w:r>
    </w:p>
    <w:p>
      <w:pPr>
        <w:spacing w:after="100" w:line="288" w:lineRule="auto"/>
      </w:pPr>
      <w:r>
        <w:rPr>
          <w:rFonts w:ascii="Calibri" w:hAnsi="Calibri"/>
          <w:b/>
          <w:color w:val="203A4C"/>
          <w:sz w:val="21"/>
        </w:rPr>
        <w:t xml:space="preserve">Slides 10-14 - Implemented connection intelligence. </w:t>
      </w:r>
      <w:r>
        <w:rPr>
          <w:rFonts w:ascii="Calibri" w:hAnsi="Calibri"/>
          <w:color w:val="17202A"/>
          <w:sz w:val="21"/>
        </w:rPr>
        <w:t>Walk through the coauthor, institution, multi-entity, and impact interfaces, then connect them to operating questions.</w:t>
      </w:r>
    </w:p>
    <w:p>
      <w:pPr>
        <w:spacing w:after="100" w:line="288" w:lineRule="auto"/>
      </w:pPr>
      <w:r>
        <w:rPr>
          <w:rFonts w:ascii="Calibri" w:hAnsi="Calibri"/>
          <w:b/>
          <w:color w:val="203A4C"/>
          <w:sz w:val="21"/>
        </w:rPr>
        <w:t xml:space="preserve">Slides 15-18 - Retrieval, governance, and knowledge transfer. </w:t>
      </w:r>
      <w:r>
        <w:rPr>
          <w:rFonts w:ascii="Calibri" w:hAnsi="Calibri"/>
          <w:color w:val="17202A"/>
          <w:sz w:val="21"/>
        </w:rPr>
        <w:t>Show how evidence remains source-linked and distinguish current capability from optional and future work.</w:t>
      </w:r>
    </w:p>
    <w:p>
      <w:pPr>
        <w:spacing w:after="100" w:line="288" w:lineRule="auto"/>
      </w:pPr>
      <w:r>
        <w:rPr>
          <w:rFonts w:ascii="Calibri" w:hAnsi="Calibri"/>
          <w:b/>
          <w:color w:val="203A4C"/>
          <w:sz w:val="21"/>
        </w:rPr>
        <w:t xml:space="preserve">Slide 19 - Decisions. </w:t>
      </w:r>
      <w:r>
        <w:rPr>
          <w:rFonts w:ascii="Calibri" w:hAnsi="Calibri"/>
          <w:color w:val="17202A"/>
          <w:sz w:val="21"/>
        </w:rPr>
        <w:t>End with the four policy choices required for a shared bibliometric program.</w:t>
      </w:r>
    </w:p>
    <w:p>
      <w:pPr>
        <w:pStyle w:val="Heading2"/>
      </w:pPr>
      <w:r>
        <w:t>Pronunciation and terminology</w:t>
      </w:r>
    </w:p>
    <w:p>
      <w:pPr>
        <w:spacing w:after="60" w:line="288" w:lineRule="auto"/>
      </w:pPr>
      <w:r>
        <w:rPr>
          <w:rFonts w:ascii="Calibri" w:hAnsi="Calibri"/>
          <w:b/>
          <w:color w:val="203A4C"/>
          <w:sz w:val="21"/>
        </w:rPr>
        <w:t xml:space="preserve">AC: </w:t>
      </w:r>
      <w:r>
        <w:rPr>
          <w:rFonts w:ascii="Calibri" w:hAnsi="Calibri"/>
          <w:color w:val="17202A"/>
          <w:sz w:val="21"/>
        </w:rPr>
        <w:t>say the letters A-C; Acceleration Consortium</w:t>
      </w:r>
    </w:p>
    <w:p>
      <w:pPr>
        <w:spacing w:after="60" w:line="288" w:lineRule="auto"/>
      </w:pPr>
      <w:r>
        <w:rPr>
          <w:rFonts w:ascii="Calibri" w:hAnsi="Calibri"/>
          <w:b/>
          <w:color w:val="203A4C"/>
          <w:sz w:val="21"/>
        </w:rPr>
        <w:t xml:space="preserve">SDL: </w:t>
      </w:r>
      <w:r>
        <w:rPr>
          <w:rFonts w:ascii="Calibri" w:hAnsi="Calibri"/>
          <w:color w:val="17202A"/>
          <w:sz w:val="21"/>
        </w:rPr>
        <w:t>say the letters S-D-L; self-driving laboratory</w:t>
      </w:r>
    </w:p>
    <w:p>
      <w:pPr>
        <w:spacing w:after="60" w:line="288" w:lineRule="auto"/>
      </w:pPr>
      <w:r>
        <w:rPr>
          <w:rFonts w:ascii="Calibri" w:hAnsi="Calibri"/>
          <w:b/>
          <w:color w:val="203A4C"/>
          <w:sz w:val="21"/>
        </w:rPr>
        <w:t xml:space="preserve">AET: </w:t>
      </w:r>
      <w:r>
        <w:rPr>
          <w:rFonts w:ascii="Calibri" w:hAnsi="Calibri"/>
          <w:color w:val="17202A"/>
          <w:sz w:val="21"/>
        </w:rPr>
        <w:t>say the letters A-E-T; Attribution Evidence Tree</w:t>
      </w:r>
    </w:p>
    <w:p>
      <w:pPr>
        <w:spacing w:after="60" w:line="288" w:lineRule="auto"/>
      </w:pPr>
      <w:r>
        <w:rPr>
          <w:rFonts w:ascii="Calibri" w:hAnsi="Calibri"/>
          <w:b/>
          <w:color w:val="203A4C"/>
          <w:sz w:val="21"/>
        </w:rPr>
        <w:t xml:space="preserve">PPR: </w:t>
      </w:r>
      <w:r>
        <w:rPr>
          <w:rFonts w:ascii="Calibri" w:hAnsi="Calibri"/>
          <w:color w:val="17202A"/>
          <w:sz w:val="21"/>
        </w:rPr>
        <w:t>say the letters P-P-R; Personalized PageRank</w:t>
      </w:r>
    </w:p>
    <w:p>
      <w:pPr>
        <w:spacing w:after="60" w:line="288" w:lineRule="auto"/>
      </w:pPr>
      <w:r>
        <w:rPr>
          <w:rFonts w:ascii="Calibri" w:hAnsi="Calibri"/>
          <w:b/>
          <w:color w:val="203A4C"/>
          <w:sz w:val="21"/>
        </w:rPr>
        <w:t xml:space="preserve">RRF: </w:t>
      </w:r>
      <w:r>
        <w:rPr>
          <w:rFonts w:ascii="Calibri" w:hAnsi="Calibri"/>
          <w:color w:val="17202A"/>
          <w:sz w:val="21"/>
        </w:rPr>
        <w:t>say the letters R-R-F; reciprocal rank fusion</w:t>
      </w:r>
    </w:p>
    <w:p>
      <w:pPr>
        <w:spacing w:after="60" w:line="288" w:lineRule="auto"/>
      </w:pPr>
      <w:r>
        <w:rPr>
          <w:rFonts w:ascii="Calibri" w:hAnsi="Calibri"/>
          <w:b/>
          <w:color w:val="203A4C"/>
          <w:sz w:val="21"/>
        </w:rPr>
        <w:t xml:space="preserve">TKU: </w:t>
      </w:r>
      <w:r>
        <w:rPr>
          <w:rFonts w:ascii="Calibri" w:hAnsi="Calibri"/>
          <w:color w:val="17202A"/>
          <w:sz w:val="21"/>
        </w:rPr>
        <w:t>say the letters T-K-U; transfer knowledge unit</w:t>
      </w:r>
    </w:p>
    <w:p>
      <w:pPr>
        <w:spacing w:after="60" w:line="288" w:lineRule="auto"/>
      </w:pPr>
      <w:r>
        <w:rPr>
          <w:rFonts w:ascii="Calibri" w:hAnsi="Calibri"/>
          <w:b/>
          <w:color w:val="203A4C"/>
          <w:sz w:val="21"/>
        </w:rPr>
        <w:t xml:space="preserve">BM25: </w:t>
      </w:r>
      <w:r>
        <w:rPr>
          <w:rFonts w:ascii="Calibri" w:hAnsi="Calibri"/>
          <w:color w:val="17202A"/>
          <w:sz w:val="21"/>
        </w:rPr>
        <w:t>say B-M twenty-five</w:t>
      </w:r>
    </w:p>
    <w:p>
      <w:pPr>
        <w:pStyle w:val="Heading2"/>
      </w:pPr>
      <w:r>
        <w:t>If the meeting is shortened</w:t>
      </w:r>
    </w:p>
    <w:p>
      <w:pPr>
        <w:spacing w:after="100" w:line="288" w:lineRule="auto"/>
      </w:pPr>
      <w:r>
        <w:rPr>
          <w:rFonts w:ascii="Calibri" w:hAnsi="Calibri"/>
          <w:b/>
          <w:color w:val="203A4C"/>
          <w:sz w:val="21"/>
        </w:rPr>
        <w:t xml:space="preserve">Keep in full: </w:t>
      </w:r>
      <w:r>
        <w:rPr>
          <w:rFonts w:ascii="Calibri" w:hAnsi="Calibri"/>
          <w:color w:val="17202A"/>
          <w:sz w:val="21"/>
        </w:rPr>
        <w:t>slides 1-4, 10-11, 14, 16-19.</w:t>
      </w:r>
    </w:p>
    <w:p>
      <w:pPr>
        <w:spacing w:after="100" w:line="288" w:lineRule="auto"/>
      </w:pPr>
      <w:r>
        <w:rPr>
          <w:rFonts w:ascii="Calibri" w:hAnsi="Calibri"/>
          <w:b/>
          <w:color w:val="203A4C"/>
          <w:sz w:val="21"/>
        </w:rPr>
        <w:t xml:space="preserve">Compress: </w:t>
      </w:r>
      <w:r>
        <w:rPr>
          <w:rFonts w:ascii="Calibri" w:hAnsi="Calibri"/>
          <w:color w:val="17202A"/>
          <w:sz w:val="21"/>
        </w:rPr>
        <w:t>slides 5-9 into one sentence each; present slides 12, 13, and 15 as visual examples without reading every mechanism.</w:t>
      </w:r>
    </w:p>
    <w:p>
      <w:pPr>
        <w:spacing w:after="100" w:line="288" w:lineRule="auto"/>
      </w:pPr>
      <w:r>
        <w:rPr>
          <w:rFonts w:ascii="Calibri" w:hAnsi="Calibri"/>
          <w:b/>
          <w:color w:val="203A4C"/>
          <w:sz w:val="21"/>
        </w:rPr>
        <w:t xml:space="preserve">Never omit: </w:t>
      </w:r>
      <w:r>
        <w:rPr>
          <w:rFonts w:ascii="Calibri" w:hAnsi="Calibri"/>
          <w:color w:val="17202A"/>
          <w:sz w:val="21"/>
        </w:rPr>
        <w:t>the mock-data disclaimer on slides 10-13, the human-authority boundary on slide 16, and the GNN boundary on slide 18.</w:t>
      </w:r>
    </w:p>
    <w:p>
      <w:r>
        <w:br w:type="page"/>
      </w:r>
    </w:p>
    <w:p>
      <w:pPr>
        <w:pStyle w:val="RehearsalMeta"/>
      </w:pPr>
      <w:r>
        <w:rPr>
          <w:rFonts w:ascii="Calibri" w:hAnsi="Calibri"/>
          <w:b/>
          <w:color w:val="B8663B"/>
          <w:sz w:val="20"/>
        </w:rPr>
        <w:t>SLIDE 01  |  SUGGESTED TIME 1:00</w:t>
      </w:r>
    </w:p>
    <w:p>
      <w:pPr>
        <w:pStyle w:val="Heading1"/>
        <w:spacing w:after="180"/>
      </w:pPr>
      <w:r>
        <w:t>Paper Attribution and Connection Intelligence</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Open calmly. Make eye contact before naming the four-stage scope.</w:t>
      </w:r>
    </w:p>
    <w:p>
      <w:pPr>
        <w:pStyle w:val="Heading2"/>
      </w:pPr>
      <w:r>
        <w:rPr>
          <w:color w:val="B8663B"/>
        </w:rPr>
        <w:t>VERBATIM SCRIPT</w:t>
      </w:r>
    </w:p>
    <w:p>
      <w:pPr>
        <w:pStyle w:val="VerbatimScript"/>
        <w:keepLines w:val="0"/>
      </w:pPr>
      <w:r>
        <w:t>Good morning, and thank you for making the time. I want to walk through this system as more than a paper classifier. Classification is one necessary step, but the real purpose is to build a bibliometric dataset that can explain why a paper belongs, show how people and institutions are connected, and preserve enough provenance for later knowledge reuse.</w:t>
      </w:r>
    </w:p>
    <w:p>
      <w:pPr>
        <w:pStyle w:val="VerbatimScript"/>
        <w:keepLines w:val="0"/>
      </w:pPr>
      <w:r>
        <w:t>I will use AC to mean the Acceleration Consortium, and SDL to mean self-driving laboratory. The walkthrough has three main layers. First, paper attribution: what relationships and evidence support a paper’s inclusion. Second, connection intelligence: what we can learn when those paper-level decisions are assembled into networks. Third, knowledge preparation: how source-grounded papers can support retrieval and eventually cross-SDL knowledge transfer.</w:t>
      </w:r>
    </w:p>
    <w:p>
      <w:pPr>
        <w:pStyle w:val="VerbatimScript"/>
        <w:keepLines w:val="0"/>
      </w:pPr>
      <w:r>
        <w:t>The central idea is simple: every important label, relationship, and generated claim should remain traceable to a paper and, where possible, to the relevant source text.</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Let me start by separating the first decision from the full product.</w:t>
      </w:r>
    </w:p>
    <w:p>
      <w:r>
        <w:br w:type="page"/>
      </w:r>
    </w:p>
    <w:p>
      <w:pPr>
        <w:pStyle w:val="RehearsalMeta"/>
      </w:pPr>
      <w:r>
        <w:rPr>
          <w:rFonts w:ascii="Calibri" w:hAnsi="Calibri"/>
          <w:b/>
          <w:color w:val="B8663B"/>
          <w:sz w:val="20"/>
        </w:rPr>
        <w:t>SLIDE 02  |  SUGGESTED TIME 1:15</w:t>
      </w:r>
    </w:p>
    <w:p>
      <w:pPr>
        <w:pStyle w:val="Heading1"/>
        <w:spacing w:after="180"/>
      </w:pPr>
      <w:r>
        <w:t>Classification is the first decision, not the product</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Move left to right across the four stages. Pause on paper attribution.</w:t>
      </w:r>
    </w:p>
    <w:p>
      <w:pPr>
        <w:pStyle w:val="Heading2"/>
      </w:pPr>
      <w:r>
        <w:rPr>
          <w:color w:val="B8663B"/>
        </w:rPr>
        <w:t>VERBATIM SCRIPT</w:t>
      </w:r>
    </w:p>
    <w:p>
      <w:pPr>
        <w:pStyle w:val="VerbatimScript"/>
        <w:keepLines w:val="0"/>
      </w:pPr>
      <w:r>
        <w:t>This slide defines the system boundary. Classification asks a narrow question: which relevance class is plausible for this record? That is useful for organizing a large corpus, but it does not yet tell us why the paper is attributable to AC.</w:t>
      </w:r>
    </w:p>
    <w:p>
      <w:pPr>
        <w:pStyle w:val="VerbatimScript"/>
        <w:keepLines w:val="0"/>
      </w:pPr>
      <w:r>
        <w:t>Paper attribution is the next and more important decision. It resolves the people, institutions, funding, citations, topics, methods, and graph paths that support the record. Once those relationships are stored consistently across many papers, we can calculate connection intelligence: bridge authors, institution hubs, topic diffusion, collaboration growth, and other patterns across the corpus.</w:t>
      </w:r>
    </w:p>
    <w:p>
      <w:pPr>
        <w:pStyle w:val="VerbatimScript"/>
        <w:keepLines w:val="0"/>
      </w:pPr>
      <w:r>
        <w:t>The final stage is knowledge reuse. Here, the system does not simply summarize papers. It extracts source-grounded methods, assumptions, entities, and lessons that may be useful in another SDL context.</w:t>
      </w:r>
    </w:p>
    <w:p>
      <w:pPr>
        <w:pStyle w:val="VerbatimScript"/>
        <w:keepLines w:val="0"/>
      </w:pPr>
      <w:r>
        <w:t>So the durable output is not a spreadsheet of labels. It is a provenance-preserving research graph in which the consortium can inspect the path from a decision or claim back to the underlying evidence.</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To see what that means in practice, consider the relationships that must be resolved around one paper.</w:t>
      </w:r>
    </w:p>
    <w:p>
      <w:r>
        <w:br w:type="page"/>
      </w:r>
    </w:p>
    <w:p>
      <w:pPr>
        <w:pStyle w:val="RehearsalMeta"/>
      </w:pPr>
      <w:r>
        <w:rPr>
          <w:rFonts w:ascii="Calibri" w:hAnsi="Calibri"/>
          <w:b/>
          <w:color w:val="B8663B"/>
          <w:sz w:val="20"/>
        </w:rPr>
        <w:t>SLIDE 03  |  SUGGESTED TIME 1:20</w:t>
      </w:r>
    </w:p>
    <w:p>
      <w:pPr>
        <w:pStyle w:val="Heading1"/>
        <w:spacing w:after="180"/>
      </w:pPr>
      <w:r>
        <w:t>Paper attribution resolves five relationships around every paper</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Point to the paper, then move clockwise through the five relationship families.</w:t>
      </w:r>
    </w:p>
    <w:p>
      <w:pPr>
        <w:pStyle w:val="Heading2"/>
      </w:pPr>
      <w:r>
        <w:rPr>
          <w:color w:val="B8663B"/>
        </w:rPr>
        <w:t>VERBATIM SCRIPT</w:t>
      </w:r>
    </w:p>
    <w:p>
      <w:pPr>
        <w:pStyle w:val="VerbatimScript"/>
        <w:keepLines w:val="0"/>
      </w:pPr>
      <w:r>
        <w:t>For each paper, attribution means resolving five families of relationships.</w:t>
      </w:r>
    </w:p>
    <w:p>
      <w:pPr>
        <w:pStyle w:val="VerbatimScript"/>
        <w:keepLines w:val="0"/>
      </w:pPr>
      <w:r>
        <w:t>First are people. Does the author list contain a verified AC member, an alias of a known person, or another identity match that we can defend? Second are institutions. Are the affiliations AC partners, external organizations, or ambiguous names that need normalization? Third is support, including funding, acknowledgements, programs, and partner mentions.</w:t>
      </w:r>
    </w:p>
    <w:p>
      <w:pPr>
        <w:pStyle w:val="VerbatimScript"/>
        <w:keepLines w:val="0"/>
      </w:pPr>
      <w:r>
        <w:t>Fourth is scientific content. Which core or adjacent topics are present? Which methods, entities, and propositions are supported by the text? Fifth is the network context. Does the paper have a direct coauthor path to AC, cite an AC-core paper, or receive citations from the corpus?</w:t>
      </w:r>
    </w:p>
    <w:p>
      <w:pPr>
        <w:pStyle w:val="VerbatimScript"/>
        <w:keepLines w:val="0"/>
      </w:pPr>
      <w:r>
        <w:t>The paper in the center also needs a canonical identity and provenance, so duplicate or conflicting records can be detected. Finally, a human reviewer can confirm the decision and lock it. The system may propose an attribution, but it should not silently overwrite a human-confirmed result later.</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These relationships are not only visual concepts; they become explicit fields in the attributed paper record.</w:t>
      </w:r>
    </w:p>
    <w:p>
      <w:r>
        <w:br w:type="page"/>
      </w:r>
    </w:p>
    <w:p>
      <w:pPr>
        <w:pStyle w:val="RehearsalMeta"/>
      </w:pPr>
      <w:r>
        <w:rPr>
          <w:rFonts w:ascii="Calibri" w:hAnsi="Calibri"/>
          <w:b/>
          <w:color w:val="B8663B"/>
          <w:sz w:val="20"/>
        </w:rPr>
        <w:t>SLIDE 04  |  SUGGESTED TIME 1:10</w:t>
      </w:r>
    </w:p>
    <w:p>
      <w:pPr>
        <w:pStyle w:val="Heading1"/>
        <w:spacing w:after="180"/>
      </w:pPr>
      <w:r>
        <w:t>What the system stores for one attributed paper</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Do not read every row. Group them into identity, evidence, explanation, and authority.</w:t>
      </w:r>
    </w:p>
    <w:p>
      <w:pPr>
        <w:pStyle w:val="Heading2"/>
      </w:pPr>
      <w:r>
        <w:rPr>
          <w:color w:val="B8663B"/>
        </w:rPr>
        <w:t>VERBATIM SCRIPT</w:t>
      </w:r>
    </w:p>
    <w:p>
      <w:pPr>
        <w:pStyle w:val="VerbatimScript"/>
        <w:keepLines w:val="0"/>
      </w:pPr>
      <w:r>
        <w:t>This table shows what one attributed paper actually contains. I would group the record into four parts.</w:t>
      </w:r>
    </w:p>
    <w:p>
      <w:pPr>
        <w:pStyle w:val="VerbatimScript"/>
        <w:keepLines w:val="0"/>
      </w:pPr>
      <w:r>
        <w:t>The first is identity: DOI, title, year, venue, and source provenance. The second is the proposed classification, including the label, confidence, model version, and reasons. The third is relationship evidence: matched people, canonical institutions, scientific topics and methods, full-text chunks, and graph explanations such as direct authors, second-degree paths, and AC-core citations.</w:t>
      </w:r>
    </w:p>
    <w:p>
      <w:pPr>
        <w:pStyle w:val="VerbatimScript"/>
        <w:keepLines w:val="0"/>
      </w:pPr>
      <w:r>
        <w:t>The fourth part is decision authority. The record stores the human label, reviewer, notes, timestamp, and lock state.</w:t>
      </w:r>
    </w:p>
    <w:p>
      <w:pPr>
        <w:pStyle w:val="VerbatimScript"/>
        <w:keepLines w:val="0"/>
      </w:pPr>
      <w:r>
        <w:t>This structure matters because different questions need different evidence. An author match is not the same as topic similarity. An institutional relationship is not the same as a citation relationship. By storing these separately, the system can support review, analytics, and reporting without collapsing everything into one opaque score.</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Classification still plays a role, so I will briefly explain how that subroutine works.</w:t>
      </w:r>
    </w:p>
    <w:p>
      <w:r>
        <w:br w:type="page"/>
      </w:r>
    </w:p>
    <w:p>
      <w:pPr>
        <w:pStyle w:val="RehearsalMeta"/>
      </w:pPr>
      <w:r>
        <w:rPr>
          <w:rFonts w:ascii="Calibri" w:hAnsi="Calibri"/>
          <w:b/>
          <w:color w:val="B8663B"/>
          <w:sz w:val="20"/>
        </w:rPr>
        <w:t>SLIDE 05  |  SUGGESTED TIME 1:30</w:t>
      </w:r>
    </w:p>
    <w:p>
      <w:pPr>
        <w:pStyle w:val="Heading1"/>
        <w:spacing w:after="180"/>
      </w:pPr>
      <w:r>
        <w:t>Seven evidence signals feed label-specific gates</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Explain the letters first, then emphasize the necessary-condition rule in the lower left.</w:t>
      </w:r>
    </w:p>
    <w:p>
      <w:pPr>
        <w:pStyle w:val="Heading2"/>
      </w:pPr>
      <w:r>
        <w:rPr>
          <w:color w:val="B8663B"/>
        </w:rPr>
        <w:t>VERBATIM SCRIPT</w:t>
      </w:r>
    </w:p>
    <w:p>
      <w:pPr>
        <w:pStyle w:val="VerbatimScript"/>
        <w:keepLines w:val="0"/>
      </w:pPr>
      <w:r>
        <w:t>The classifier combines seven positive evidence signals: author identity, institution, topic, full text, network, citations, and structured entities. It also subtracts disqualifying evidence. When full text is unavailable, the metadata-only mode shifts more weight toward author, institution, and topic evidence.</w:t>
      </w:r>
    </w:p>
    <w:p>
      <w:pPr>
        <w:pStyle w:val="VerbatimScript"/>
        <w:keepLines w:val="0"/>
      </w:pPr>
      <w:r>
        <w:t>The formula is useful for ranking cases by confidence, especially for deciding what should enter a review queue. But confidence alone does not assign the final class. The classes use label-specific gates.</w:t>
      </w:r>
    </w:p>
    <w:p>
      <w:pPr>
        <w:pStyle w:val="VerbatimScript"/>
        <w:keepLines w:val="0"/>
      </w:pPr>
      <w:r>
        <w:t>For a core attribution, we need direct or gold AC evidence together with core SDL evidence. A related paper can have strong identity, funding, or AC-core citation support. An adjacent paper can be scientifically relevant without enough evidence for organizational attribution. Uncertain means the evidence is partial or conflicting and should be reviewed. Exclude means no necessary condition survives.</w:t>
      </w:r>
    </w:p>
    <w:p>
      <w:pPr>
        <w:pStyle w:val="VerbatimScript"/>
        <w:keepLines w:val="0"/>
      </w:pPr>
      <w:r>
        <w:t>The key point is the sentence at the bottom: confidence ranks cases, but necessary conditions assign labels. A high numerical score cannot bypass evidence that the consortium has decided is required.</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For attribution, those pieces of evidence are more useful when they are represented as paths rather than as a flat list.</w:t>
      </w:r>
    </w:p>
    <w:p>
      <w:r>
        <w:br w:type="page"/>
      </w:r>
    </w:p>
    <w:p>
      <w:pPr>
        <w:pStyle w:val="RehearsalMeta"/>
      </w:pPr>
      <w:r>
        <w:rPr>
          <w:rFonts w:ascii="Calibri" w:hAnsi="Calibri"/>
          <w:b/>
          <w:color w:val="B8663B"/>
          <w:sz w:val="20"/>
        </w:rPr>
        <w:t>SLIDE 06  |  SUGGESTED TIME 1:30</w:t>
      </w:r>
    </w:p>
    <w:p>
      <w:pPr>
        <w:pStyle w:val="Heading1"/>
        <w:spacing w:after="180"/>
      </w:pPr>
      <w:r>
        <w:t>Attribution is an evidence tree, not a flat score</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Trace two example paths with your hand. State that the weights are policy parameters, not universal constants.</w:t>
      </w:r>
    </w:p>
    <w:p>
      <w:pPr>
        <w:pStyle w:val="Heading2"/>
      </w:pPr>
      <w:r>
        <w:rPr>
          <w:color w:val="B8663B"/>
        </w:rPr>
        <w:t>VERBATIM SCRIPT</w:t>
      </w:r>
    </w:p>
    <w:p>
      <w:pPr>
        <w:pStyle w:val="VerbatimScript"/>
        <w:keepLines w:val="0"/>
      </w:pPr>
      <w:r>
        <w:t>The Attribution Evidence Tree, or AET, represents the reason for attribution as a set of typed paths. For example, paper to author to AC member is one path. Paper to affiliation to AC partner is another. Funding, coauthorship, citations, and method-to-SDL relationships form additional paths.</w:t>
      </w:r>
    </w:p>
    <w:p>
      <w:pPr>
        <w:pStyle w:val="VerbatimScript"/>
        <w:keepLines w:val="0"/>
      </w:pPr>
      <w:r>
        <w:t>Each path carries an identifier, evidence type, polarity, weight, source location, and context. The score shown on the right is the positive path weight minus the negative path weight, clamped between zero and one. The displayed weights are policy parameters that can be reviewed; they are not universal scientific constants.</w:t>
      </w:r>
    </w:p>
    <w:p>
      <w:pPr>
        <w:pStyle w:val="VerbatimScript"/>
        <w:keepLines w:val="0"/>
      </w:pPr>
      <w:r>
        <w:t>This structure gives us two advantages. First, it distinguishes central evidence from supporting evidence. A direct funding or partner relationship can carry more weight than a weak indirect citation. Second, negative evidence remains visible. It is not deleted after scoring.</w:t>
      </w:r>
    </w:p>
    <w:p>
      <w:pPr>
        <w:pStyle w:val="VerbatimScript"/>
        <w:keepLines w:val="0"/>
      </w:pPr>
      <w:r>
        <w:t>For reviewers, the AET answers a practical question: exactly which evidence paths caused this paper to be proposed for attribution, and which contrary evidence was considered?</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The graph explanation uses the same principle: every connection claim should be openable as a concrete path.</w:t>
      </w:r>
    </w:p>
    <w:p>
      <w:r>
        <w:br w:type="page"/>
      </w:r>
    </w:p>
    <w:p>
      <w:pPr>
        <w:pStyle w:val="RehearsalMeta"/>
      </w:pPr>
      <w:r>
        <w:rPr>
          <w:rFonts w:ascii="Calibri" w:hAnsi="Calibri"/>
          <w:b/>
          <w:color w:val="B8663B"/>
          <w:sz w:val="20"/>
        </w:rPr>
        <w:t>SLIDE 07  |  SUGGESTED TIME 1:20</w:t>
      </w:r>
    </w:p>
    <w:p>
      <w:pPr>
        <w:pStyle w:val="Heading1"/>
        <w:spacing w:after="180"/>
      </w:pPr>
      <w:r>
        <w:t>Every graph claim can be opened as a path</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Contrast direct, second-degree, and citation paths. Avoid dwelling on the formulas.</w:t>
      </w:r>
    </w:p>
    <w:p>
      <w:pPr>
        <w:pStyle w:val="Heading2"/>
      </w:pPr>
      <w:r>
        <w:rPr>
          <w:color w:val="B8663B"/>
        </w:rPr>
        <w:t>VERBATIM SCRIPT</w:t>
      </w:r>
    </w:p>
    <w:p>
      <w:pPr>
        <w:pStyle w:val="VerbatimScript"/>
        <w:keepLines w:val="0"/>
      </w:pPr>
      <w:r>
        <w:t>A graph relationship should never appear as an unexplained line. The current graph explanation distinguishes three common cases.</w:t>
      </w:r>
    </w:p>
    <w:p>
      <w:pPr>
        <w:pStyle w:val="VerbatimScript"/>
        <w:keepLines w:val="0"/>
      </w:pPr>
      <w:r>
        <w:t>A direct path is paper to AC author. The author identity is verified and attached to the record. A second-degree path is paper to an external author to an AC author. In that case, the explanation retains both authors, the shared paper identifiers, and a path strength. A citation path is paper to an AC-core paper, with the cited title and DOI attached.</w:t>
      </w:r>
    </w:p>
    <w:p>
      <w:pPr>
        <w:pStyle w:val="VerbatimScript"/>
        <w:keepLines w:val="0"/>
      </w:pPr>
      <w:r>
        <w:t>The output on the right is deterministic. It lists direct AC authors, second-degree paths, citation signals, reverse citations from the corpus, and a human-readable summary. An LLM is not required to invent the explanation.</w:t>
      </w:r>
    </w:p>
    <w:p>
      <w:pPr>
        <w:pStyle w:val="VerbatimScript"/>
        <w:keepLines w:val="0"/>
      </w:pPr>
      <w:r>
        <w:t>The two formulas at the bottom show bounded network and citation contributions. Personalized PageRank provides an AC-proximity signal, adjusted modestly by excess centrality. Citation support is capped and based on unique AC-core citations. These signals enrich attribution, but they do not replace identity or source evidence.</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Once we aggregate paper-level paths, we also need a fair definition of relationship strength.</w:t>
      </w:r>
    </w:p>
    <w:p>
      <w:r>
        <w:br w:type="page"/>
      </w:r>
    </w:p>
    <w:p>
      <w:pPr>
        <w:pStyle w:val="RehearsalMeta"/>
      </w:pPr>
      <w:r>
        <w:rPr>
          <w:rFonts w:ascii="Calibri" w:hAnsi="Calibri"/>
          <w:b/>
          <w:color w:val="B8663B"/>
          <w:sz w:val="20"/>
        </w:rPr>
        <w:t>SLIDE 08  |  SUGGESTED TIME 1:25</w:t>
      </w:r>
    </w:p>
    <w:p>
      <w:pPr>
        <w:pStyle w:val="Heading1"/>
        <w:spacing w:after="180"/>
      </w:pPr>
      <w:r>
        <w:t>Raw co-publication counts are normalized before they become relationship strength</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Walk through examples A and B slowly; this is an intuitive teaching moment.</w:t>
      </w:r>
    </w:p>
    <w:p>
      <w:pPr>
        <w:pStyle w:val="Heading2"/>
      </w:pPr>
      <w:r>
        <w:rPr>
          <w:color w:val="B8663B"/>
        </w:rPr>
        <w:t>VERBATIM SCRIPT</w:t>
      </w:r>
    </w:p>
    <w:p>
      <w:pPr>
        <w:pStyle w:val="VerbatimScript"/>
        <w:keepLines w:val="0"/>
      </w:pPr>
      <w:r>
        <w:t>A raw count of joint papers can be misleading. An author with a small publication portfolio may have a very concentrated relationship with a collaborator, even if the absolute number of shared papers is modest.</w:t>
      </w:r>
    </w:p>
    <w:p>
      <w:pPr>
        <w:pStyle w:val="VerbatimScript"/>
        <w:keepLines w:val="0"/>
      </w:pPr>
      <w:r>
        <w:t>The normalized relationship strength divides the number of shared papers by the smaller publication count of the two authors. In example A, the authors share three papers, and the smaller portfolio contains four papers. The normalized strength is point seven five. In example B, the authors share five papers, but the smaller portfolio contains twenty papers, so the normalized strength is only point two five.</w:t>
      </w:r>
    </w:p>
    <w:p>
      <w:pPr>
        <w:pStyle w:val="VerbatimScript"/>
        <w:keepLines w:val="0"/>
      </w:pPr>
      <w:r>
        <w:t>Example B has the larger raw count, but example A has the more concentrated relationship.</w:t>
      </w:r>
    </w:p>
    <w:p>
      <w:pPr>
        <w:pStyle w:val="VerbatimScript"/>
        <w:keepLines w:val="0"/>
      </w:pPr>
      <w:r>
        <w:t>The system can then add complementary structural signals. Personalized PageRank measures proximity to AC-seeded authors. Evans-Chen excess centrality highlights people whose collaborative reach is greater than degree alone predicts. The bridge score combines AC proximity, excess centrality, and cross-SDL diversity. Together, these measures help AC distinguish frequent collaborators from strategically important connectors.</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Different strategic questions, however, require different combinations of those dimensions.</w:t>
      </w:r>
    </w:p>
    <w:p>
      <w:r>
        <w:br w:type="page"/>
      </w:r>
    </w:p>
    <w:p>
      <w:pPr>
        <w:pStyle w:val="RehearsalMeta"/>
      </w:pPr>
      <w:r>
        <w:rPr>
          <w:rFonts w:ascii="Calibri" w:hAnsi="Calibri"/>
          <w:b/>
          <w:color w:val="B8663B"/>
          <w:sz w:val="20"/>
        </w:rPr>
        <w:t>SLIDE 09  |  SUGGESTED TIME 1:35</w:t>
      </w:r>
    </w:p>
    <w:p>
      <w:pPr>
        <w:pStyle w:val="Heading1"/>
        <w:spacing w:after="180"/>
      </w:pPr>
      <w:r>
        <w:t>AC can rank the same network for different questions</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Frame each profile as a research question, not as a new model.</w:t>
      </w:r>
    </w:p>
    <w:p>
      <w:pPr>
        <w:pStyle w:val="Heading2"/>
      </w:pPr>
      <w:r>
        <w:rPr>
          <w:color w:val="B8663B"/>
        </w:rPr>
        <w:t>VERBATIM SCRIPT</w:t>
      </w:r>
    </w:p>
    <w:p>
      <w:pPr>
        <w:pStyle w:val="VerbatimScript"/>
        <w:keepLines w:val="0"/>
      </w:pPr>
      <w:r>
        <w:t>There is no single universally correct importance score for a collaboration network. The ranking should reflect the question being asked.</w:t>
      </w:r>
    </w:p>
    <w:p>
      <w:pPr>
        <w:pStyle w:val="VerbatimScript"/>
        <w:keepLines w:val="0"/>
      </w:pPr>
      <w:r>
        <w:t>The formula at the top is a weighted sum over normalized dimensions. The profile makes those weights explicit. For AC attribution, proximity to AC receives the largest weight. For bridge builders, excess centrality and cross-SDL diversity become more important. Institution hubs emphasize sustained relationship strength and institution-spanning reach. Emerging connectors give more weight to recency and early bridge signals. Topic diffusion emphasizes diversity across SDL areas.</w:t>
      </w:r>
    </w:p>
    <w:p>
      <w:pPr>
        <w:pStyle w:val="VerbatimScript"/>
        <w:keepLines w:val="0"/>
      </w:pPr>
      <w:r>
        <w:t>These are not five opaque models. They are five declared interpretations of the same network. The interface exposes both the profile weights and the contribution of each dimension. A researcher can see why an author ranks highly, compare profiles, and adjust the weights if the consortium adopts a different policy.</w:t>
      </w:r>
    </w:p>
    <w:p>
      <w:pPr>
        <w:pStyle w:val="VerbatimScript"/>
        <w:keepLines w:val="0"/>
      </w:pPr>
      <w:r>
        <w:t>That transparency is important for a shared dataset. A ranking becomes discussable and governable when its research question and weighting assumptions are visible.</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The current coauthor interface makes that explanation available directly to the user.</w:t>
      </w:r>
    </w:p>
    <w:p>
      <w:r>
        <w:br w:type="page"/>
      </w:r>
    </w:p>
    <w:p>
      <w:pPr>
        <w:pStyle w:val="RehearsalMeta"/>
      </w:pPr>
      <w:r>
        <w:rPr>
          <w:rFonts w:ascii="Calibri" w:hAnsi="Calibri"/>
          <w:b/>
          <w:color w:val="B8663B"/>
          <w:sz w:val="20"/>
        </w:rPr>
        <w:t>SLIDE 10  |  SUGGESTED TIME 1:30</w:t>
      </w:r>
    </w:p>
    <w:p>
      <w:pPr>
        <w:pStyle w:val="Heading1"/>
        <w:spacing w:after="180"/>
      </w:pPr>
      <w:r>
        <w:t>The coauthor view exposes bridge authors and the evidence behind each edge</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Acknowledge immediately that the screenshot uses mock values. Point to the profile controls, then the graph.</w:t>
      </w:r>
    </w:p>
    <w:p>
      <w:pPr>
        <w:pStyle w:val="Heading2"/>
      </w:pPr>
      <w:r>
        <w:rPr>
          <w:color w:val="B8663B"/>
        </w:rPr>
        <w:t>VERBATIM SCRIPT</w:t>
      </w:r>
    </w:p>
    <w:p>
      <w:pPr>
        <w:pStyle w:val="VerbatimScript"/>
        <w:keepLines w:val="0"/>
      </w:pPr>
      <w:r>
        <w:t>This is the current coauthor interface. The screen was captured with mock data, so the names and values are illustrative; what matters here is the implemented interaction and evidence structure.</w:t>
      </w:r>
    </w:p>
    <w:p>
      <w:pPr>
        <w:pStyle w:val="VerbatimScript"/>
        <w:keepLines w:val="0"/>
      </w:pPr>
      <w:r>
        <w:t>At the top, the user can switch among the importance profiles we just discussed. The weight controls show exactly how much emphasis is assigned to AC proximity, relationship strength, excess centrality, cross-SDL diversity, citation affinity, and recency.</w:t>
      </w:r>
    </w:p>
    <w:p>
      <w:pPr>
        <w:pStyle w:val="VerbatimScript"/>
        <w:keepLines w:val="0"/>
      </w:pPr>
      <w:r>
        <w:t>The network view then shows authors and their collaboration edges. Selecting an author exposes paper count, collaborators, Personalized PageRank, excess centrality, the importance components, and a plain-language explanation. Selecting an edge exposes the joint-paper identifiers, normalized relationship strength, and whether the relationship directly involves AC.</w:t>
      </w:r>
    </w:p>
    <w:p>
      <w:pPr>
        <w:pStyle w:val="VerbatimScript"/>
        <w:keepLines w:val="0"/>
      </w:pPr>
      <w:r>
        <w:t>This is useful for AC because the graph is not only a visualization. It can support questions such as: Who connects an AC-adjacent community to another SDL area? Which relationship is supported by specific joint papers? Why did this person rank as a bridge builder?</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We can apply the same traceability to institutions, topics, and attribution labels.</w:t>
      </w:r>
    </w:p>
    <w:p>
      <w:r>
        <w:br w:type="page"/>
      </w:r>
    </w:p>
    <w:p>
      <w:pPr>
        <w:pStyle w:val="RehearsalMeta"/>
      </w:pPr>
      <w:r>
        <w:rPr>
          <w:rFonts w:ascii="Calibri" w:hAnsi="Calibri"/>
          <w:b/>
          <w:color w:val="B8663B"/>
          <w:sz w:val="20"/>
        </w:rPr>
        <w:t>SLIDE 11  |  SUGGESTED TIME 1:25</w:t>
      </w:r>
    </w:p>
    <w:p>
      <w:pPr>
        <w:pStyle w:val="Heading1"/>
        <w:spacing w:after="180"/>
      </w:pPr>
      <w:r>
        <w:t>Institution connections can be traced from joint papers to topics and labels</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Follow the Sankey from left to right. Then point to the three questions.</w:t>
      </w:r>
    </w:p>
    <w:p>
      <w:pPr>
        <w:pStyle w:val="Heading2"/>
      </w:pPr>
      <w:r>
        <w:rPr>
          <w:color w:val="B8663B"/>
        </w:rPr>
        <w:t>VERBATIM SCRIPT</w:t>
      </w:r>
    </w:p>
    <w:p>
      <w:pPr>
        <w:pStyle w:val="VerbatimScript"/>
        <w:keepLines w:val="0"/>
      </w:pPr>
      <w:r>
        <w:t>This Sankey view connects three levels of the dataset. On the left are institutions found on attributed papers. In the middle are scientific topics. On the right are attribution classes. Again, the screenshot values are illustrative mock data, but the flow and filtering are implemented in the current frontend.</w:t>
      </w:r>
    </w:p>
    <w:p>
      <w:pPr>
        <w:pStyle w:val="VerbatimScript"/>
        <w:keepLines w:val="0"/>
      </w:pPr>
      <w:r>
        <w:t>The view supports three linked questions. Which organizations appear on the attributed papers? Which scientific themes connect those organizations? And how does the evidence resolve into attribution classes?</w:t>
      </w:r>
    </w:p>
    <w:p>
      <w:pPr>
        <w:pStyle w:val="VerbatimScript"/>
        <w:keepLines w:val="0"/>
      </w:pPr>
      <w:r>
        <w:t>Because the flows are derived from paper records, a user can move from an aggregate pattern back to the underlying papers. The institution hub score adds another lens. It combines degree, betweenness, partner reach, and international reach. Degree reflects how many collaborators an institution has. Betweenness identifies organizations that connect otherwise separate parts of the network.</w:t>
      </w:r>
    </w:p>
    <w:p>
      <w:pPr>
        <w:pStyle w:val="VerbatimScript"/>
        <w:keepLines w:val="0"/>
      </w:pPr>
      <w:r>
        <w:t>This gives AC a defensible way to identify sustained partners, international connectors, and institutions that may be emerging around a topic rather than relying on a manually assembled contact list.</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The institution view is one projection of a larger multi-entity research graph.</w:t>
      </w:r>
    </w:p>
    <w:p>
      <w:r>
        <w:br w:type="page"/>
      </w:r>
    </w:p>
    <w:p>
      <w:pPr>
        <w:pStyle w:val="RehearsalMeta"/>
      </w:pPr>
      <w:r>
        <w:rPr>
          <w:rFonts w:ascii="Calibri" w:hAnsi="Calibri"/>
          <w:b/>
          <w:color w:val="B8663B"/>
          <w:sz w:val="20"/>
        </w:rPr>
        <w:t>SLIDE 12  |  SUGGESTED TIME 1:20</w:t>
      </w:r>
    </w:p>
    <w:p>
      <w:pPr>
        <w:pStyle w:val="Heading1"/>
        <w:spacing w:after="180"/>
      </w:pPr>
      <w:r>
        <w:t>The multi-entity graph joins people, institutions, papers, topics, methods, funders, and AC core</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Name node types, then edge types, then the interactive ego-graph workflow.</w:t>
      </w:r>
    </w:p>
    <w:p>
      <w:pPr>
        <w:pStyle w:val="Heading2"/>
      </w:pPr>
      <w:r>
        <w:rPr>
          <w:color w:val="B8663B"/>
        </w:rPr>
        <w:t>VERBATIM SCRIPT</w:t>
      </w:r>
    </w:p>
    <w:p>
      <w:pPr>
        <w:pStyle w:val="VerbatimScript"/>
        <w:keepLines w:val="0"/>
      </w:pPr>
      <w:r>
        <w:t>The multi-entity graph brings the major bibliometric objects into one inspectable structure. The node types include authors, institutions, papers, topics, methods, funders, and AC-core entities. The edge predicates record relationships such as authored, affiliated with, belongs to topic, uses method, cites, cites AC core, and institution collaboration.</w:t>
      </w:r>
    </w:p>
    <w:p>
      <w:pPr>
        <w:pStyle w:val="VerbatimScript"/>
        <w:keepLines w:val="0"/>
      </w:pPr>
      <w:r>
        <w:t>The screenshot uses mock values, but it shows the implemented controls. A user can select which node and edge types are visible, choose a center entity, set a hop limit, and move the time window. This creates an ego graph around a person, institution, paper, or topic without changing the underlying provenance.</w:t>
      </w:r>
    </w:p>
    <w:p>
      <w:pPr>
        <w:pStyle w:val="VerbatimScript"/>
        <w:keepLines w:val="0"/>
      </w:pPr>
      <w:r>
        <w:t>That distinction matters. The interface can simplify the view for a particular question, but it does not simplify the stored evidence by deleting relationships. A researcher can move from a topic to the papers that support it, from a paper to its authors and institutions, and from those institutions to their collaboration partners.</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When these relationships are aggregated over time, they support monitoring as well as exploration.</w:t>
      </w:r>
    </w:p>
    <w:p>
      <w:r>
        <w:br w:type="page"/>
      </w:r>
    </w:p>
    <w:p>
      <w:pPr>
        <w:pStyle w:val="RehearsalMeta"/>
      </w:pPr>
      <w:r>
        <w:rPr>
          <w:rFonts w:ascii="Calibri" w:hAnsi="Calibri"/>
          <w:b/>
          <w:color w:val="B8663B"/>
          <w:sz w:val="20"/>
        </w:rPr>
        <w:t>SLIDE 13  |  SUGGESTED TIME 1:20</w:t>
      </w:r>
    </w:p>
    <w:p>
      <w:pPr>
        <w:pStyle w:val="Heading1"/>
        <w:spacing w:after="180"/>
      </w:pPr>
      <w:r>
        <w:t>AC can monitor growth, emerging collaborators, themes, and citation activity</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State the SQL provenance before mentioning any metric. Do not present mock numbers as results.</w:t>
      </w:r>
    </w:p>
    <w:p>
      <w:pPr>
        <w:pStyle w:val="Heading2"/>
      </w:pPr>
      <w:r>
        <w:rPr>
          <w:color w:val="B8663B"/>
        </w:rPr>
        <w:t>VERBATIM SCRIPT</w:t>
      </w:r>
    </w:p>
    <w:p>
      <w:pPr>
        <w:pStyle w:val="VerbatimScript"/>
        <w:keepLines w:val="0"/>
      </w:pPr>
      <w:r>
        <w:t>This impact view shows the types of monitoring the system can support. The screenshot contains illustrative mock values, not a claim about the current AC corpus.</w:t>
      </w:r>
    </w:p>
    <w:p>
      <w:pPr>
        <w:pStyle w:val="VerbatimScript"/>
        <w:keepLines w:val="0"/>
      </w:pPr>
      <w:r>
        <w:t>In production, the numbers are derived from SQL queries over the attributed dataset. The system can count core and related papers by year, citation edges by year, emerging institutions, emerging authors, growing topics, and drift events. Emerging institutions and authors include a first year and activity count, so the user can distinguish genuinely new relationships from long-standing ones. Topic drift compares year-to-year topic vectors to identify changes in the scientific mix.</w:t>
      </w:r>
    </w:p>
    <w:p>
      <w:pPr>
        <w:pStyle w:val="VerbatimScript"/>
        <w:keepLines w:val="0"/>
      </w:pPr>
      <w:r>
        <w:t>The important governance point is shown at the lower right: an LLM does not calculate these numbers. Reporting begins with metric triples produced by database queries, including the metric key, value, and source. A language model may help rewrite a narrative around supplied metrics, but it should not invent, estimate, or silently recalculate the evidence.</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These capabilities become most useful when they are tied to concrete operating questions.</w:t>
      </w:r>
    </w:p>
    <w:p>
      <w:r>
        <w:br w:type="page"/>
      </w:r>
    </w:p>
    <w:p>
      <w:pPr>
        <w:pStyle w:val="RehearsalMeta"/>
      </w:pPr>
      <w:r>
        <w:rPr>
          <w:rFonts w:ascii="Calibri" w:hAnsi="Calibri"/>
          <w:b/>
          <w:color w:val="B8663B"/>
          <w:sz w:val="20"/>
        </w:rPr>
        <w:t>SLIDE 14  |  SUGGESTED TIME 1:25</w:t>
      </w:r>
    </w:p>
    <w:p>
      <w:pPr>
        <w:pStyle w:val="Heading1"/>
        <w:spacing w:after="180"/>
      </w:pPr>
      <w:r>
        <w:t>Connection intelligence supports concrete operating questions</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Choose four rows to discuss; do not read the table verbatim.</w:t>
      </w:r>
    </w:p>
    <w:p>
      <w:pPr>
        <w:pStyle w:val="Heading2"/>
      </w:pPr>
      <w:r>
        <w:rPr>
          <w:color w:val="B8663B"/>
        </w:rPr>
        <w:t>VERBATIM SCRIPT</w:t>
      </w:r>
    </w:p>
    <w:p>
      <w:pPr>
        <w:pStyle w:val="VerbatimScript"/>
        <w:keepLines w:val="0"/>
      </w:pPr>
      <w:r>
        <w:t>This table translates the technical components into operating questions for AC.</w:t>
      </w:r>
    </w:p>
    <w:p>
      <w:pPr>
        <w:pStyle w:val="VerbatimScript"/>
        <w:keepLines w:val="0"/>
      </w:pPr>
      <w:r>
        <w:t>For paper curation, the question is: which papers are attributable to AC, and why? The evidence is the paper record, the Attribution Evidence Tree, and the graph explanation. The action may be to review, publish, or correct the attribution.</w:t>
      </w:r>
    </w:p>
    <w:p>
      <w:pPr>
        <w:pStyle w:val="VerbatimScript"/>
        <w:keepLines w:val="0"/>
      </w:pPr>
      <w:r>
        <w:t>For partnership intelligence, we can ask who bridges AC to an external SDL community, or which institutions are becoming collaborators. The evidence comes from proximity, excess centrality, cross-SDL diversity, joint papers, institution edges, and first-year activity.</w:t>
      </w:r>
    </w:p>
    <w:p>
      <w:pPr>
        <w:pStyle w:val="VerbatimScript"/>
        <w:keepLines w:val="0"/>
      </w:pPr>
      <w:r>
        <w:t>For scientific translation, we can ask which topics or methods move across communities. Sankey flows, the multi-entity graph, and topic-diffusion profiles provide the evidence.</w:t>
      </w:r>
    </w:p>
    <w:p>
      <w:pPr>
        <w:pStyle w:val="VerbatimScript"/>
        <w:keepLines w:val="0"/>
      </w:pPr>
      <w:r>
        <w:t>Finally, the system can expose evidence gaps, duplicate candidates, missed-paper groups, and drift. That supports better corpus coverage and review policy. The goal is not another dashboard. It is a decision surface for curation, partnership tracking, and scientific translation, with the evidence attached.</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Researchers also need a reliable way to ask questions of that evidence without losing the source context.</w:t>
      </w:r>
    </w:p>
    <w:p>
      <w:r>
        <w:br w:type="page"/>
      </w:r>
    </w:p>
    <w:p>
      <w:pPr>
        <w:pStyle w:val="RehearsalMeta"/>
      </w:pPr>
      <w:r>
        <w:rPr>
          <w:rFonts w:ascii="Calibri" w:hAnsi="Calibri"/>
          <w:b/>
          <w:color w:val="B8663B"/>
          <w:sz w:val="20"/>
        </w:rPr>
        <w:t>SLIDE 15  |  SUGGESTED TIME 1:30</w:t>
      </w:r>
    </w:p>
    <w:p>
      <w:pPr>
        <w:pStyle w:val="Heading1"/>
        <w:spacing w:after="180"/>
      </w:pPr>
      <w:r>
        <w:t>Retrieval answers questions with graph context, propositions, and source chunks</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Walk through the pipeline once in plain language, then summarize the two formulas.</w:t>
      </w:r>
    </w:p>
    <w:p>
      <w:pPr>
        <w:pStyle w:val="Heading2"/>
      </w:pPr>
      <w:r>
        <w:rPr>
          <w:color w:val="B8663B"/>
        </w:rPr>
        <w:t>VERBATIM SCRIPT</w:t>
      </w:r>
    </w:p>
    <w:p>
      <w:pPr>
        <w:pStyle w:val="VerbatimScript"/>
        <w:keepLines w:val="0"/>
      </w:pPr>
      <w:r>
        <w:t>The retrieval layer starts with a natural-language question. It searches the text using BM25, which is a lexical method, and cosine similarity, which captures semantic similarity. Reciprocal rank fusion combines the two rankings without requiring their raw scores to be directly comparable.</w:t>
      </w:r>
    </w:p>
    <w:p>
      <w:pPr>
        <w:pStyle w:val="VerbatimScript"/>
        <w:keepLines w:val="0"/>
      </w:pPr>
      <w:r>
        <w:t>The first formula shows that fusion: a document receives credit based on its position in each ranking. The graph layer then applies a bounded importance boost. The second formula limits that boost to thirty percent of the fused score, so network centrality cannot replace textual relevance.</w:t>
      </w:r>
    </w:p>
    <w:p>
      <w:pPr>
        <w:pStyle w:val="VerbatimScript"/>
        <w:keepLines w:val="0"/>
      </w:pPr>
      <w:r>
        <w:t>For structured questions, the system can use a proposition channel. For example, a question about a method, funding relationship, or experimental assumption can retrieve extracted propositions rather than relying only on free text.</w:t>
      </w:r>
    </w:p>
    <w:p>
      <w:pPr>
        <w:pStyle w:val="VerbatimScript"/>
        <w:keepLines w:val="0"/>
      </w:pPr>
      <w:r>
        <w:t>Every returned source includes a paper and chunk identifier, section type, title, retrieval scores, and graph-path context when available. The answer should therefore include both sources and a retry or missing-evidence signal. Retrieval is valuable here because it preserves the route back from an answer to the evidence used to produce it.</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This evidence access also defines a safe and useful role for Claude.</w:t>
      </w:r>
    </w:p>
    <w:p>
      <w:r>
        <w:br w:type="page"/>
      </w:r>
    </w:p>
    <w:p>
      <w:pPr>
        <w:pStyle w:val="RehearsalMeta"/>
      </w:pPr>
      <w:r>
        <w:rPr>
          <w:rFonts w:ascii="Calibri" w:hAnsi="Calibri"/>
          <w:b/>
          <w:color w:val="B8663B"/>
          <w:sz w:val="20"/>
        </w:rPr>
        <w:t>SLIDE 16  |  SUGGESTED TIME 1:35</w:t>
      </w:r>
    </w:p>
    <w:p>
      <w:pPr>
        <w:pStyle w:val="Heading1"/>
        <w:spacing w:after="180"/>
      </w:pPr>
      <w:r>
        <w:t>Human review and reporting preserve authority</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Use a firm tone on the authority boundary. Pause before describing the Claude role.</w:t>
      </w:r>
    </w:p>
    <w:p>
      <w:pPr>
        <w:pStyle w:val="Heading2"/>
      </w:pPr>
      <w:r>
        <w:rPr>
          <w:color w:val="B8663B"/>
        </w:rPr>
        <w:t>VERBATIM SCRIPT</w:t>
      </w:r>
    </w:p>
    <w:p>
      <w:pPr>
        <w:pStyle w:val="VerbatimScript"/>
        <w:keepLines w:val="0"/>
      </w:pPr>
      <w:r>
        <w:t>The workflow separates an automated proposal from a human decision. The system proposes a label, confidence, evidence paths, and an uncertainty status. A reviewer can include, exclude, or mark the paper uncertain, and record a rationale. Once confirmed, the attribution is locked against silent automated overrides.</w:t>
      </w:r>
    </w:p>
    <w:p>
      <w:pPr>
        <w:pStyle w:val="VerbatimScript"/>
        <w:keepLines w:val="0"/>
      </w:pPr>
      <w:r>
        <w:t>This is where Claude can add value if credits are available. A safe use is to adjudicate only the uncertainty queue, summarize retrieved evidence, draft reviewer rationales, or rewrite a report from supplied SQL metric triples. Those tasks reduce reading and writing effort while remaining bounded by evidence that already exists.</w:t>
      </w:r>
    </w:p>
    <w:p>
      <w:pPr>
        <w:pStyle w:val="VerbatimScript"/>
        <w:keepLines w:val="0"/>
      </w:pPr>
      <w:r>
        <w:t>The authority boundary is equally important. Claude may not create papers, graph edges, citations, measurements, results, or numerical claims. It should not replace deterministic database operations or the reviewer’s final decision.</w:t>
      </w:r>
    </w:p>
    <w:p>
      <w:pPr>
        <w:pStyle w:val="VerbatimScript"/>
        <w:keepLines w:val="0"/>
      </w:pPr>
      <w:r>
        <w:t>So I would describe agent funding as review acceleration and evidence synthesis, not as funding an autonomous bibliometric classifier. The database, evidence paths, and human-confirmed decisions remain the system of record.</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With that governance in place, attributed papers can safely support downstream knowledge work.</w:t>
      </w:r>
    </w:p>
    <w:p>
      <w:r>
        <w:br w:type="page"/>
      </w:r>
    </w:p>
    <w:p>
      <w:pPr>
        <w:pStyle w:val="RehearsalMeta"/>
      </w:pPr>
      <w:r>
        <w:rPr>
          <w:rFonts w:ascii="Calibri" w:hAnsi="Calibri"/>
          <w:b/>
          <w:color w:val="B8663B"/>
          <w:sz w:val="20"/>
        </w:rPr>
        <w:t>SLIDE 17  |  SUGGESTED TIME 1:35</w:t>
      </w:r>
    </w:p>
    <w:p>
      <w:pPr>
        <w:pStyle w:val="Heading1"/>
        <w:spacing w:after="180"/>
      </w:pPr>
      <w:r>
        <w:t>Attributed papers become source-grounded cross-SDL transfer candidates</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Move across the pipeline and stress the source contract at the right.</w:t>
      </w:r>
    </w:p>
    <w:p>
      <w:pPr>
        <w:pStyle w:val="Heading2"/>
      </w:pPr>
      <w:r>
        <w:rPr>
          <w:color w:val="B8663B"/>
        </w:rPr>
        <w:t>VERBATIM SCRIPT</w:t>
      </w:r>
    </w:p>
    <w:p>
      <w:pPr>
        <w:pStyle w:val="VerbatimScript"/>
        <w:keepLines w:val="0"/>
      </w:pPr>
      <w:r>
        <w:t>The cross-SDL pipeline begins with reviewed attributed papers, not detached summaries. From each paper, the system extracts structured claims, including entities and propositions. It then creates a transfer knowledge unit, or TKU, containing the method core, assumptions, and lessons.</w:t>
      </w:r>
    </w:p>
    <w:p>
      <w:pPr>
        <w:pStyle w:val="VerbatimScript"/>
        <w:keepLines w:val="0"/>
      </w:pPr>
      <w:r>
        <w:t>The target-matching stage looks for a different SDL domain where that knowledge may be relevant. Same-domain matches are excluded. A transfer design then describes a possible plan, risks, and citations. The final knowledge card is a human-reviewed reusable asset.</w:t>
      </w:r>
    </w:p>
    <w:p>
      <w:pPr>
        <w:pStyle w:val="VerbatimScript"/>
        <w:keepLines w:val="0"/>
      </w:pPr>
      <w:r>
        <w:t>Candidate designs are ranked using match strength, novelty, transferability, evidence, and a risk penalty. This ranking helps prioritize review; it is not a claim that a transfer will succeed experimentally.</w:t>
      </w:r>
    </w:p>
    <w:p>
      <w:pPr>
        <w:pStyle w:val="VerbatimScript"/>
        <w:keepLines w:val="0"/>
      </w:pPr>
      <w:r>
        <w:t>The source contract on the right is essential. Every generated claim carries a source tag such as a paper identifier. Human review precedes acceptance. Classification makes the corpus searchable, but attribution makes the extracted knowledge defensible because the methods and lessons inherit evidence paths from the paper record.</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Before closing, I want to be precise about what is current, optional, offline, and still future work.</w:t>
      </w:r>
    </w:p>
    <w:p>
      <w:r>
        <w:br w:type="page"/>
      </w:r>
    </w:p>
    <w:p>
      <w:pPr>
        <w:pStyle w:val="RehearsalMeta"/>
      </w:pPr>
      <w:r>
        <w:rPr>
          <w:rFonts w:ascii="Calibri" w:hAnsi="Calibri"/>
          <w:b/>
          <w:color w:val="B8663B"/>
          <w:sz w:val="20"/>
        </w:rPr>
        <w:t>SLIDE 18  |  SUGGESTED TIME 1:15</w:t>
      </w:r>
    </w:p>
    <w:p>
      <w:pPr>
        <w:pStyle w:val="Heading1"/>
        <w:spacing w:after="180"/>
      </w:pPr>
      <w:r>
        <w:t>Current capability, optional layers, and experimental work remain distinct</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Use this slide to prevent overclaiming. Slow down on the offline baseline and future experiment rows.</w:t>
      </w:r>
    </w:p>
    <w:p>
      <w:pPr>
        <w:pStyle w:val="Heading2"/>
      </w:pPr>
      <w:r>
        <w:rPr>
          <w:color w:val="B8663B"/>
        </w:rPr>
        <w:t>VERBATIM SCRIPT</w:t>
      </w:r>
    </w:p>
    <w:p>
      <w:pPr>
        <w:pStyle w:val="VerbatimScript"/>
        <w:keepLines w:val="0"/>
      </w:pPr>
      <w:r>
        <w:t>The current repository already implements substantial functionality: paper attribution records, AET evidence paths, deterministic graph explanations, coauthor, institution, and multi-entity networks, impact and drift analytics, source-linked retrieval, and transfer services.</w:t>
      </w:r>
    </w:p>
    <w:p>
      <w:pPr>
        <w:pStyle w:val="VerbatimScript"/>
        <w:keepLines w:val="0"/>
      </w:pPr>
      <w:r>
        <w:t>Claude-based uncertainty judging and report rewriting are optional layers. They should be default-off or conditionally invoked, and bounded by retrieved evidence and high-margin rules. The learned classifier is also an optional layer using engineered features.</w:t>
      </w:r>
    </w:p>
    <w:p>
      <w:pPr>
        <w:pStyle w:val="VerbatimScript"/>
        <w:keepLines w:val="0"/>
      </w:pPr>
      <w:r>
        <w:t>Separately, the repository contains an offline structural graph-feature baseline. It uses leakage-safe graph features, balanced logistic regression, and leave-one-out evaluation. That is an evaluation artifact, not production authority.</w:t>
      </w:r>
    </w:p>
    <w:p>
      <w:pPr>
        <w:pStyle w:val="VerbatimScript"/>
        <w:keepLines w:val="0"/>
      </w:pPr>
      <w:r>
        <w:t>A deployed graph neural network would require PyTorch Geometric or DGL training, saved weights, an inference service, and production integration. That future path is not currently implemented. We should therefore avoid describing graph export or the offline baseline as a deployed GNN classifier.</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With those boundaries clear, the meeting can end with four concrete program decisions.</w:t>
      </w:r>
    </w:p>
    <w:p>
      <w:r>
        <w:br w:type="page"/>
      </w:r>
    </w:p>
    <w:p>
      <w:pPr>
        <w:pStyle w:val="RehearsalMeta"/>
      </w:pPr>
      <w:r>
        <w:rPr>
          <w:rFonts w:ascii="Calibri" w:hAnsi="Calibri"/>
          <w:b/>
          <w:color w:val="B8663B"/>
          <w:sz w:val="20"/>
        </w:rPr>
        <w:t>SLIDE 19  |  SUGGESTED TIME 1:15</w:t>
      </w:r>
    </w:p>
    <w:p>
      <w:pPr>
        <w:pStyle w:val="Heading1"/>
        <w:spacing w:after="180"/>
      </w:pPr>
      <w:r>
        <w:t>Decisions for a shared bibliometric program</w:t>
      </w:r>
    </w:p>
    <w:p>
      <w:pPr>
        <w:spacing w:before="100" w:after="160" w:line="276" w:lineRule="auto"/>
        <w:ind w:left="187" w:right="72"/>
        <w:shd w:fill="DDE9EE"/>
        <w:pBdr>
          <w:left w:val="single" w:sz="18" w:space="8" w:color="587F96"/>
        </w:pBdr>
      </w:pPr>
      <w:r>
        <w:rPr>
          <w:rFonts w:ascii="Calibri" w:hAnsi="Calibri"/>
          <w:b/>
          <w:color w:val="203A4C"/>
          <w:sz w:val="21"/>
        </w:rPr>
        <w:t xml:space="preserve">Delivery cue: </w:t>
      </w:r>
      <w:r>
        <w:rPr>
          <w:rFonts w:ascii="Calibri" w:hAnsi="Calibri"/>
          <w:i/>
          <w:color w:val="17202A"/>
          <w:sz w:val="21"/>
        </w:rPr>
        <w:t>Close by inviting decisions, not by summarizing every feature.</w:t>
      </w:r>
    </w:p>
    <w:p>
      <w:pPr>
        <w:pStyle w:val="Heading2"/>
      </w:pPr>
      <w:r>
        <w:rPr>
          <w:color w:val="B8663B"/>
        </w:rPr>
        <w:t>VERBATIM SCRIPT</w:t>
      </w:r>
    </w:p>
    <w:p>
      <w:pPr>
        <w:pStyle w:val="VerbatimScript"/>
        <w:keepLines w:val="0"/>
      </w:pPr>
      <w:r>
        <w:t>I would like to close with four decisions that define a shared bibliometric program.</w:t>
      </w:r>
    </w:p>
    <w:p>
      <w:pPr>
        <w:pStyle w:val="VerbatimScript"/>
        <w:keepLines w:val="0"/>
      </w:pPr>
      <w:r>
        <w:t>First is the corpus. Which bibliometric sources, date range, and gold papers define the trusted starting set?</w:t>
      </w:r>
    </w:p>
    <w:p>
      <w:pPr>
        <w:pStyle w:val="VerbatimScript"/>
        <w:keepLines w:val="0"/>
      </w:pPr>
      <w:r>
        <w:t>Second is attribution policy. Which evidence paths are sufficient for core, related, and organization-level reporting? This is a consortium decision, not only a software decision.</w:t>
      </w:r>
    </w:p>
    <w:p>
      <w:pPr>
        <w:pStyle w:val="VerbatimScript"/>
        <w:keepLines w:val="0"/>
      </w:pPr>
      <w:r>
        <w:t>Third is connection metrics. Which profiles should AC use for attribution, bridge discovery, institution analysis, and topic diffusion? The weights can be transparent, but they still need an agreed interpretation.</w:t>
      </w:r>
    </w:p>
    <w:p>
      <w:pPr>
        <w:pStyle w:val="VerbatimScript"/>
        <w:keepLines w:val="0"/>
      </w:pPr>
      <w:r>
        <w:t>Fourth is the review and model budget. Which uncertainty bands require human review, and where should Claude credits reduce review work without gaining authority over the evidence?</w:t>
      </w:r>
    </w:p>
    <w:p>
      <w:pPr>
        <w:pStyle w:val="VerbatimScript"/>
        <w:keepLines w:val="0"/>
      </w:pPr>
      <w:r>
        <w:t>If we agree on those four areas, the first release will define more than which papers enter the dataset. It will also define which relationships and evidence paths the consortium is prepared to trust. That shared policy is what makes the dataset reusable for connection intelligence and future cross-SDL knowledge generation.</w:t>
      </w:r>
    </w:p>
    <w:p>
      <w:pPr>
        <w:spacing w:before="100" w:after="160" w:line="276" w:lineRule="auto"/>
        <w:ind w:left="187" w:right="72"/>
        <w:shd w:fill="F1E2D8"/>
        <w:pBdr>
          <w:left w:val="single" w:sz="18" w:space="8" w:color="B8663B"/>
        </w:pBdr>
      </w:pPr>
      <w:r>
        <w:rPr>
          <w:rFonts w:ascii="Calibri" w:hAnsi="Calibri"/>
          <w:b/>
          <w:color w:val="203A4C"/>
          <w:sz w:val="21"/>
        </w:rPr>
        <w:t xml:space="preserve">Transition: </w:t>
      </w:r>
      <w:r>
        <w:rPr>
          <w:rFonts w:ascii="Calibri" w:hAnsi="Calibri"/>
          <w:i/>
          <w:color w:val="17202A"/>
          <w:sz w:val="21"/>
        </w:rPr>
        <w:t>I will stop here and open the discussion.</w:t>
      </w:r>
    </w:p>
    <w:sectPr w:rsidR="00FC693F" w:rsidRPr="0006063C" w:rsidSect="00034616">
      <w:headerReference w:type="default" r:id="rId9"/>
      <w:footerReference w:type="default" r:id="rId10"/>
      <w:pgSz w:w="12240" w:h="15840"/>
      <w:pgMar w:top="1181" w:right="1440" w:bottom="1123" w:left="1440"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20"/>
      <w:gridCol w:w="1440"/>
    </w:tblGrid>
    <w:tr>
      <w:tc>
        <w:tcPr>
          <w:tcW w:type="dxa" w:w="4680"/>
        </w:tcPr>
        <w:p>
          <w:pPr>
            <w:jc w:val="left"/>
          </w:pPr>
          <w:r>
            <w:rPr>
              <w:rFonts w:ascii="Calibri" w:hAnsi="Calibri"/>
              <w:color w:val="8B8F91"/>
              <w:sz w:val="17"/>
            </w:rPr>
            <w:t>University of Toronto - Acceleration Consortium</w:t>
          </w:r>
        </w:p>
      </w:tc>
      <w:tc>
        <w:tcPr>
          <w:tcW w:type="dxa" w:w="4680"/>
        </w:tcPr>
        <w:p>
          <w:pPr>
            <w:jc w:val="right"/>
          </w:pPr>
          <w:r>
            <w:rPr>
              <w:rFonts w:ascii="Calibri" w:hAnsi="Calibri"/>
              <w:color w:val="8B8F91"/>
              <w:sz w:val="17"/>
            </w:rPr>
            <w:t xml:space="preserve">Page </w:t>
          </w:r>
          <w:r>
            <w:rPr>
              <w:rFonts w:ascii="Calibri" w:hAnsi="Calibri"/>
              <w:color w:val="8B8F91"/>
              <w:sz w:val="18"/>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3" w:color="BEB8AD"/>
      </w:pBdr>
    </w:pPr>
    <w:r>
      <w:rPr>
        <w:rFonts w:ascii="Calibri" w:hAnsi="Calibri"/>
        <w:b/>
        <w:color w:val="8B8F91"/>
        <w:sz w:val="17"/>
      </w:rPr>
      <w:t>PAPER ATTRIBUTION AND CONNECTION INTELLIGENCE  |  REHEARSAL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Georgia" w:hAnsi="Georgia"/>
      <w:b/>
      <w:bCs/>
      <w:color w:val="203A4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587F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hearsalMeta">
    <w:name w:val="Rehearsal Meta"/>
    <w:pPr>
      <w:spacing w:after="100" w:line="264" w:lineRule="auto"/>
    </w:pPr>
    <w:rPr>
      <w:rFonts w:ascii="Calibri" w:hAnsi="Calibri"/>
      <w:color w:val="606972"/>
      <w:sz w:val="20"/>
    </w:rPr>
  </w:style>
  <w:style w:type="paragraph" w:customStyle="1" w:styleId="VerbatimScript">
    <w:name w:val="Verbatim Script"/>
    <w:pPr>
      <w:widowControl/>
      <w:spacing w:after="140" w:line="300" w:lineRule="auto"/>
    </w:pPr>
    <w:rPr>
      <w:rFonts w:ascii="Calibri" w:hAnsi="Calibri"/>
      <w:color w:val="17202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Attribution and Connection Intelligence - Rehearsal Script</dc:title>
  <dc:subject>Word-for-word meeting script for the system walkthrough</dc:subject>
  <dc:creator>University of Toronto - Acceleration Consortium</dc:creator>
  <cp:keywords/>
  <dc:description>generated by python-docx</dc:description>
  <cp:lastModifiedBy/>
  <cp:revision>1</cp:revision>
  <dcterms:created xsi:type="dcterms:W3CDTF">2013-12-23T23:15:00Z</dcterms:created>
  <dcterms:modified xsi:type="dcterms:W3CDTF">2013-12-23T23:15:00Z</dcterms:modified>
  <cp:category/>
</cp:coreProperties>
</file>