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300"/>
      </w:pPr>
    </w:p>
    <w:tbl>
      <w:tblPr>
        <w:tblW w:type="dxa" w:w="9350"/>
        <w:tblBorders>
          <w:top w:val="single" w:color="B5563A" w:sz="4"/>
          <w:left w:val="single" w:color="B5563A" w:sz="24"/>
          <w:bottom w:val="single" w:color="B5563A" w:sz="4"/>
          <w:right w:val="single" w:color="B5563A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E8E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Gill Sans MT" w:cs="Gill Sans MT" w:eastAsia="Gill Sans MT" w:hAnsi="Gill Sans MT"/>
                <w:b/>
                <w:bCs/>
                <w:color w:val="B5563A"/>
                <w:sz w:val="19"/>
                <w:szCs w:val="19"/>
              </w:rPr>
              <w:t xml:space="preserve">CONFIDENTIEL — SECRET INDUSTRIEL</w:t>
            </w:r>
          </w:p>
          <w:p>
            <w:pPr>
              <w:spacing w:after="0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color w:val="B5563A"/>
                <w:sz w:val="19"/>
                <w:szCs w:val="19"/>
              </w:rPr>
              <w:t xml:space="preserve">Document interne AWA SYSTEMS. Ne pas diffuser hors NDA. Le nom de code HIBOU-OS ne doit paraître dans aucune communication publique.</w:t>
            </w:r>
          </w:p>
        </w:tc>
      </w:tr>
    </w:tbl>
    <w:p>
      <w:pPr>
        <w:spacing w:after="260"/>
      </w:pPr>
    </w:p>
    <w:p>
      <w:pPr>
        <w:spacing w:after="10"/>
        <w:jc w:val="center"/>
      </w:pPr>
      <w:r>
        <w:rPr>
          <w:rFonts w:ascii="Gill Sans MT" w:cs="Gill Sans MT" w:eastAsia="Gill Sans MT" w:hAnsi="Gill Sans MT"/>
          <w:b/>
          <w:bCs/>
          <w:color w:val="4FB8C4"/>
          <w:spacing w:val="30"/>
          <w:sz w:val="20"/>
          <w:szCs w:val="20"/>
        </w:rPr>
        <w:t xml:space="preserve">SPÉCIFICATION TECHNIQUE</w:t>
      </w:r>
    </w:p>
    <w:p>
      <w:pPr>
        <w:spacing w:after="10" w:before="120"/>
        <w:jc w:val="center"/>
      </w:pPr>
      <w:r>
        <w:rPr>
          <w:rFonts w:ascii="Garamond" w:cs="Garamond" w:eastAsia="Garamond" w:hAnsi="Garamond"/>
          <w:b/>
          <w:bCs/>
          <w:color w:val="0B1F3A"/>
          <w:sz w:val="64"/>
          <w:szCs w:val="64"/>
        </w:rPr>
        <w:t xml:space="preserve">Adaptateur Trading</w:t>
      </w:r>
    </w:p>
    <w:p>
      <w:pPr>
        <w:spacing w:after="300"/>
        <w:jc w:val="center"/>
      </w:pPr>
      <w:r>
        <w:rPr>
          <w:rFonts w:ascii="Garamond" w:cs="Garamond" w:eastAsia="Garamond" w:hAnsi="Garamond"/>
          <w:i/>
          <w:iCs/>
          <w:color w:val="5B6472"/>
          <w:sz w:val="30"/>
          <w:szCs w:val="30"/>
        </w:rPr>
        <w:t xml:space="preserve">v1.0 — kernel HIBOU-OS</w:t>
      </w:r>
    </w:p>
    <w:p>
      <w:pPr>
        <w:spacing w:after="10"/>
        <w:jc w:val="center"/>
      </w:pPr>
      <w:r>
        <w:rPr>
          <w:rFonts w:ascii="Gill Sans MT" w:cs="Gill Sans MT" w:eastAsia="Gill Sans MT" w:hAnsi="Gill Sans MT"/>
          <w:color w:val="5B6472"/>
          <w:sz w:val="20"/>
          <w:szCs w:val="20"/>
        </w:rPr>
        <w:t xml:space="preserve">4 octobre 2026</w:t>
      </w:r>
    </w:p>
    <w:p>
      <w:pPr>
        <w:spacing w:after="10"/>
        <w:jc w:val="center"/>
      </w:pPr>
      <w:r>
        <w:rPr>
          <w:rFonts w:ascii="Gill Sans MT" w:cs="Gill Sans MT" w:eastAsia="Gill Sans MT" w:hAnsi="Gill Sans MT"/>
          <w:color w:val="5B6472"/>
          <w:sz w:val="20"/>
          <w:szCs w:val="20"/>
        </w:rPr>
        <w:t xml:space="preserve">AWA SYSTEMS — Québec</w:t>
      </w:r>
    </w:p>
    <w:p>
      <w:pPr>
        <w:spacing w:after="400"/>
      </w:pPr>
    </w:p>
    <w:tbl>
      <w:tblPr>
        <w:tblW w:type="dxa" w:w="9350"/>
        <w:tblBorders>
          <w:top w:val="none" w:color="FFFFFF" w:sz="0"/>
          <w:left w:val="single" w:color="C6A1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0B1F3A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r>
              <w:rPr>
                <w:rFonts w:ascii="Garamond" w:cs="Garamond" w:eastAsia="Garamond" w:hAnsi="Garamond"/>
                <w:i/>
                <w:iCs/>
                <w:color w:val="FFFFFF"/>
                <w:sz w:val="25"/>
                <w:szCs w:val="25"/>
              </w:rPr>
              <w:t xml:space="preserve">L'adaptateur MAPPE ; le kernel DÉCIDE. Jamais l'inverse.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A15B" w:sz="6" w:space="8"/>
        </w:pBdr>
        <w:spacing w:after="200"/>
      </w:pPr>
      <w:r>
        <w:rPr>
          <w:rFonts w:ascii="Garamond" w:cs="Garamond" w:eastAsia="Garamond" w:hAnsi="Garamond"/>
          <w:b/>
          <w:bCs/>
          <w:color w:val="0B1F3A"/>
          <w:sz w:val="40"/>
          <w:szCs w:val="40"/>
        </w:rPr>
        <w:t xml:space="preserve">Statut et supersession</w:t>
      </w:r>
    </w:p>
    <w:p>
      <w:pPr>
        <w:spacing w:after="90" w:before="0"/>
      </w:pPr>
      <w:r>
        <w:rPr>
          <w:rFonts w:ascii="Gill Sans MT" w:cs="Gill Sans MT" w:eastAsia="Gill Sans MT" w:hAnsi="Gill Sans MT"/>
          <w:b/>
          <w:bCs/>
          <w:color w:val="0B1F3A"/>
          <w:sz w:val="21"/>
          <w:szCs w:val="21"/>
        </w:rPr>
        <w:t xml:space="preserve">Ce que cette version tranche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Ce document spécifie l'adaptateur trading : la couche de mapping entre le monde du trading (prop firms, traders discrétionnaires, algos) et le kernel HIBOU-OS. Il remplace le document d'architecture du 29 septembre 2026 (architecture_adaptateur_trading.md) sur les points suivants 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le vocabulaire d'actions : NORMAL → ACT (treillis canonique 5+2)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SEEK n'est plus un « sous-état » : c'est une directive d'évaluation bornée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decide_action(T, C) → h(T, C, State)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fail-open vs fail-closed tranché : mode fail-conservateur (CRE spec v2 §3) — les ordres sont bloqués en cas de panne, jamais plus permissifs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la sémantique de DEGRADED tranchée : auto-downsize borné via le vecteur de capacité k⃗ (intensité), plancher configurable par la politique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Principe cardinal</w:t>
      </w:r>
    </w:p>
    <w:tbl>
      <w:tblPr>
        <w:tblW w:type="dxa" w:w="9350"/>
        <w:tblBorders>
          <w:top w:val="none" w:color="FFFFFF" w:sz="0"/>
          <w:left w:val="single" w:color="C6A1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0B1F3A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r>
              <w:rPr>
                <w:rFonts w:ascii="Garamond" w:cs="Garamond" w:eastAsia="Garamond" w:hAnsi="Garamond"/>
                <w:i/>
                <w:iCs/>
                <w:color w:val="FFFFFF"/>
                <w:sz w:val="25"/>
                <w:szCs w:val="25"/>
              </w:rPr>
              <w:t xml:space="preserve">L'adaptateur MAPPE (signaux → CSV, contexte → R/I/Rev, verdict → actions sur ordres). Le kernel DÉCIDE (compute_confidence, compute_T, decide_action). Le kernel ne connaît ni le trading, ni les traders, ni le broker : il ne voit que des vecteurs.</w:t>
            </w:r>
          </w:p>
        </w:tc>
      </w:tr>
    </w:tbl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Discipline des paramètres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/>
          <w:iCs/>
          <w:color w:val="5B6472"/>
          <w:sz w:val="21"/>
          <w:szCs w:val="21"/>
        </w:rPr>
        <w:t xml:space="preserve">Tous les seuils, ancrages et bornes numériques de cette spec sont des ancrages initiaux symboliques, non calibrés. Ils donnent un point de départ opérationnel ; les valeurs définitives sont établies par la calibration gouvernée (§9). Aucun ancrage symbolique ne doit être présenté comme calibré.</w:t>
      </w:r>
    </w:p>
    <w:p>
      <w:r>
        <w:br w:type="page"/>
      </w:r>
    </w:p>
    <w:p>
      <w:pPr>
        <w:pStyle w:val="Heading1"/>
        <w:pBdr>
          <w:bottom w:val="single" w:color="C6A15B" w:sz="6" w:space="8"/>
        </w:pBdr>
        <w:spacing w:after="200"/>
      </w:pPr>
      <w:r>
        <w:rPr>
          <w:rFonts w:ascii="Garamond" w:cs="Garamond" w:eastAsia="Garamond" w:hAnsi="Garamond"/>
          <w:b/>
          <w:bCs/>
          <w:color w:val="0B1F3A"/>
          <w:sz w:val="40"/>
          <w:szCs w:val="40"/>
        </w:rPr>
        <w:t xml:space="preserve">Périmètre</w:t>
      </w:r>
    </w:p>
    <w:p>
      <w:pPr>
        <w:spacing w:after="90" w:before="0"/>
      </w:pPr>
      <w:r>
        <w:rPr>
          <w:rFonts w:ascii="Gill Sans MT" w:cs="Gill Sans MT" w:eastAsia="Gill Sans MT" w:hAnsi="Gill Sans MT"/>
          <w:b/>
          <w:bCs/>
          <w:color w:val="0B1F3A"/>
          <w:sz w:val="21"/>
          <w:szCs w:val="21"/>
        </w:rPr>
        <w:t xml:space="preserve">MVP : ce qui est dedans, ce qui attend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Dans le périmètre (MVP)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Hook pré-trade : l'intention d'ordre (humaine ou algorithmique) est soumise à HIBOU avant transmission au broker — overlay non-invasif avec pouvoir de blocage réel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Entités gouvernées : traders discrétionnaires et algos/bots des prop firms pilotes (1 à 2 firms, quelques traders + 1 à 2 algos)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Boucle de feedback fermée : les fills alimentent /outcome automatiquement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Hors périmètre (MVP)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Gestion de la position en cours (le « pendant ») : relève du CRE phase 2 (governor continu), chantier ultérieur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HFT : exclu — contrainte de latence incompatible avec un hook de gouvernance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Prérequis de mise en production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 cycle 1 de calibration DIPOS reste le prérequis avant tout pilote externe. Aucun seuil non calibré n'est exposé en production réelle ; le pilote trading démarre en shadow mode (§9).</w:t>
      </w:r>
    </w:p>
    <w:p>
      <w:r>
        <w:br w:type="page"/>
      </w:r>
    </w:p>
    <w:p>
      <w:pPr>
        <w:pStyle w:val="Heading1"/>
        <w:pBdr>
          <w:bottom w:val="single" w:color="C6A15B" w:sz="6" w:space="8"/>
        </w:pBdr>
        <w:spacing w:after="200"/>
      </w:pPr>
      <w:r>
        <w:rPr>
          <w:rFonts w:ascii="Garamond" w:cs="Garamond" w:eastAsia="Garamond" w:hAnsi="Garamond"/>
          <w:b/>
          <w:bCs/>
          <w:color w:val="0B1F3A"/>
          <w:sz w:val="40"/>
          <w:szCs w:val="40"/>
        </w:rPr>
        <w:t xml:space="preserve">Entités gouvernées</w:t>
      </w:r>
    </w:p>
    <w:p>
      <w:pPr>
        <w:spacing w:after="90" w:before="0"/>
      </w:pPr>
      <w:r>
        <w:rPr>
          <w:rFonts w:ascii="Gill Sans MT" w:cs="Gill Sans MT" w:eastAsia="Gill Sans MT" w:hAnsi="Gill Sans MT"/>
          <w:b/>
          <w:bCs/>
          <w:color w:val="0B1F3A"/>
          <w:sz w:val="21"/>
          <w:szCs w:val="21"/>
        </w:rPr>
        <w:t xml:space="preserve">Un état par entité, un kernel partagé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Chaque trader et chaque algo est une entité isolée 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M (Mémoire) — historique des décisions de l'entité et de leurs outcomes (trades, fills, verdicts passés)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S (Stabilité) — stabilité comportementale récente de l'entité (dérive vs sa propre baseline)</w:t>
      </w:r>
    </w:p>
    <w:tbl>
      <w:tblPr>
        <w:tblW w:type="dxa" w:w="9350"/>
        <w:tblBorders>
          <w:top w:val="none" w:color="FFFFFF" w:sz="0"/>
          <w:left w:val="single" w:color="C6A1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0B1F3A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r>
              <w:rPr>
                <w:rFonts w:ascii="Garamond" w:cs="Garamond" w:eastAsia="Garamond" w:hAnsi="Garamond"/>
                <w:i/>
                <w:iCs/>
                <w:color w:val="FFFFFF"/>
                <w:sz w:val="25"/>
                <w:szCs w:val="25"/>
              </w:rPr>
              <w:t xml:space="preserve">Le kernel est partagé ; l'état ne l'est pas. Deux traders soumettant le même ordre peuvent recevoir des verdicts différents — c'est le comportement voulu : la gouvernance porte sur le couple (décision, état du décideur), pas sur l'ordre seul.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A15B" w:sz="6" w:space="8"/>
        </w:pBdr>
        <w:spacing w:after="200"/>
      </w:pPr>
      <w:r>
        <w:rPr>
          <w:rFonts w:ascii="Garamond" w:cs="Garamond" w:eastAsia="Garamond" w:hAnsi="Garamond"/>
          <w:b/>
          <w:bCs/>
          <w:color w:val="0B1F3A"/>
          <w:sz w:val="40"/>
          <w:szCs w:val="40"/>
        </w:rPr>
        <w:t xml:space="preserve">Mapping signaux → CSV</w:t>
      </w:r>
    </w:p>
    <w:p>
      <w:pPr>
        <w:spacing w:after="90" w:before="0"/>
      </w:pPr>
      <w:r>
        <w:rPr>
          <w:rFonts w:ascii="Gill Sans MT" w:cs="Gill Sans MT" w:eastAsia="Gill Sans MT" w:hAnsi="Gill Sans MT"/>
          <w:b/>
          <w:bCs/>
          <w:color w:val="0B1F3A"/>
          <w:sz w:val="21"/>
          <w:szCs w:val="21"/>
        </w:rPr>
        <w:t xml:space="preserve">Les 8 dimensions, appliquées au trading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L'adaptateur traduit les signaux bruts de chaque entité en vecteur CSV à 8 dimensions, chacune normalisée dans [0, 1]. Le calcul diffère selon le type d'entité (humain vs algo) ; le kernel en aval est identique. L'élicitation suit l'ancrage ordinal canonique (critique = 0,00 / faible = 0,25 / insuffisant = 0,50 / adéquat = 0,75 / robuste = 1,00).</w:t>
      </w:r>
    </w:p>
    <w:tbl>
      <w:tblPr>
        <w:tblW w:type="dxa" w:w="9350"/>
        <w:tblBorders>
          <w:top w:val="single" w:color="C9D0DA" w:sz="4"/>
          <w:left w:val="single" w:color="C9D0DA" w:sz="4"/>
          <w:bottom w:val="single" w:color="C9D0DA" w:sz="4"/>
          <w:right w:val="single" w:color="C9D0DA" w:sz="4"/>
          <w:insideH w:val="single" w:color="C9D0DA" w:sz="4"/>
          <w:insideV w:val="single" w:color="C9D0DA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Gill Sans MT" w:cs="Gill Sans MT" w:eastAsia="Gill Sans MT" w:hAnsi="Gill Sans MT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75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Gill Sans MT" w:cs="Gill Sans MT" w:eastAsia="Gill Sans MT" w:hAnsi="Gill Sans MT"/>
                <w:b/>
                <w:bCs/>
                <w:color w:val="FFFFFF"/>
                <w:sz w:val="18"/>
                <w:szCs w:val="18"/>
              </w:rPr>
              <w:t xml:space="preserve">Signaux trading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Q — Data Quality</w:t>
            </w:r>
          </w:p>
        </w:tc>
        <w:tc>
          <w:tcPr>
            <w:tcW w:type="dxa" w:w="67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Staleness du feed, trous dans le flux, écart prix feed/broker, complétude du contexte compte. Humain : plan de trading du jour renseigné ?</w:t>
            </w:r>
          </w:p>
        </w:tc>
      </w:tr>
      <w:tr>
        <w:tc>
          <w:tcPr>
            <w:tcW w:type="dxa" w:w="26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D — Consistency</w:t>
            </w:r>
          </w:p>
        </w:tc>
        <w:tc>
          <w:tcPr>
            <w:tcW w:type="dxa" w:w="675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Désaccord inter-sources ou inter-modèles ; contradiction entre intention d'ordre et plan déclaré ; contradiction avec position récente. Hard gate : D = 0 → CONFLICTED.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K — Knowledge Adequacy</w:t>
            </w:r>
          </w:p>
        </w:tc>
        <w:tc>
          <w:tcPr>
            <w:tcW w:type="dxa" w:w="67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Algo : distance du régime courant à la distribution d'entraînement. Humain : expérience documentée sur l'instrument (trades taggés dans le journal).</w:t>
            </w:r>
          </w:p>
        </w:tc>
      </w:tr>
      <w:tr>
        <w:tc>
          <w:tcPr>
            <w:tcW w:type="dxa" w:w="26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X — Context Fit</w:t>
            </w:r>
          </w:p>
        </w:tc>
        <w:tc>
          <w:tcPr>
            <w:tcW w:type="dxa" w:w="675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Ordre hors session/périmètre autorisé ; événement macro imminent non modélisé. Capte le piège de la haute confiance : signal fort (E élevé) en contexte inadéquat (X faible).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E — Evidence Strength</w:t>
            </w:r>
          </w:p>
        </w:tc>
        <w:tc>
          <w:tcPr>
            <w:tcW w:type="dxa" w:w="67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Algo : confirmations indépendantes, profondeur du backtest. Humain : win-rate et expectancy du setup, confirmations multiples indépendantes.</w:t>
            </w:r>
          </w:p>
        </w:tc>
      </w:tr>
      <w:tr>
        <w:tc>
          <w:tcPr>
            <w:tcW w:type="dxa" w:w="26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S — Stability</w:t>
            </w:r>
          </w:p>
        </w:tc>
        <w:tc>
          <w:tcPr>
            <w:tcW w:type="dxa" w:w="675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Variance des décisions récentes, dispersion des tailles vs baseline, séquence de pertes (proxy du tilt). Dimension comportementale centrale du wedge trading.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M — Model Reasoning Integrity</w:t>
            </w:r>
          </w:p>
        </w:tc>
        <w:tc>
          <w:tcPr>
            <w:tcW w:type="dxa" w:w="67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Algo : signal contredisant ses propres features. Humain : cohérence entre raisonnement déclaré (journal, checklist) et ordre soumis.</w:t>
            </w:r>
          </w:p>
        </w:tc>
      </w:tr>
      <w:tr>
        <w:tc>
          <w:tcPr>
            <w:tcW w:type="dxa" w:w="26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G — Gap Adequacy</w:t>
            </w:r>
          </w:p>
        </w:tc>
        <w:tc>
          <w:tcPr>
            <w:tcW w:type="dxa" w:w="675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Checklist des entrées requises (exposition nette, limite journalière restante, événement binaire imminent). G = 0 → UNKNOWN (hard gate canonique).</w:t>
            </w:r>
          </w:p>
        </w:tc>
      </w:tr>
    </w:tbl>
    <w:p>
      <w:pPr>
        <w:spacing w:after="120"/>
      </w:pP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/>
          <w:iCs/>
          <w:color w:val="5B6472"/>
          <w:sz w:val="21"/>
          <w:szCs w:val="21"/>
        </w:rPr>
        <w:t xml:space="preserve">« 60–70 % des échecs en prop firm sont des breaches de limites de perte, pas des erreurs d'analyse. »</w:t>
      </w:r>
    </w:p>
    <w:p>
      <w:r>
        <w:br w:type="page"/>
      </w:r>
    </w:p>
    <w:p>
      <w:pPr>
        <w:pStyle w:val="Heading1"/>
        <w:pBdr>
          <w:bottom w:val="single" w:color="C6A15B" w:sz="6" w:space="8"/>
        </w:pBdr>
        <w:spacing w:after="200"/>
      </w:pPr>
      <w:r>
        <w:rPr>
          <w:rFonts w:ascii="Garamond" w:cs="Garamond" w:eastAsia="Garamond" w:hAnsi="Garamond"/>
          <w:b/>
          <w:bCs/>
          <w:color w:val="0B1F3A"/>
          <w:sz w:val="40"/>
          <w:szCs w:val="40"/>
        </w:rPr>
        <w:t xml:space="preserve">Mapping contexte → T</w:t>
      </w:r>
    </w:p>
    <w:p>
      <w:pPr>
        <w:spacing w:after="90" w:before="0"/>
      </w:pPr>
      <w:r>
        <w:rPr>
          <w:rFonts w:ascii="Gill Sans MT" w:cs="Gill Sans MT" w:eastAsia="Gill Sans MT" w:hAnsi="Gill Sans MT"/>
          <w:b/>
          <w:bCs/>
          <w:color w:val="0B1F3A"/>
          <w:sz w:val="21"/>
          <w:szCs w:val="21"/>
        </w:rPr>
        <w:t xml:space="preserve">T = f(R, I, Rev), indépendant de C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 niveau de prudence T est calculé indépendamment de C (invariant ∂T/∂C = 0). La prop firm définit la politique (grille R/I/Rev versionnée, statique, auditable) ; HIBOU l'applique dynamiquement à chaque intention d'ordre.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R — Risque : taille de l'ordre relative (vs limite par trade, vs ADV), volatilité (ATR / régime de marché), effet de levier demandé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I — Impact : fraction de la limite de perte journalière consommée dans le pire cas raisonnable, fraction de l'equity du compte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Rev — Réversibilité : liquidité (spread, profondeur), type d'ordre et horizon (scalp vs overnight), corrélation au portefeuille existant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Grille de politique (exemple symbolique, à publier par la firme)</w:t>
      </w:r>
    </w:p>
    <w:tbl>
      <w:tblPr>
        <w:tblW w:type="dxa" w:w="9350"/>
        <w:tblBorders>
          <w:top w:val="single" w:color="C9D0DA" w:sz="4"/>
          <w:left w:val="single" w:color="C9D0DA" w:sz="4"/>
          <w:bottom w:val="single" w:color="C9D0DA" w:sz="4"/>
          <w:right w:val="single" w:color="C9D0DA" w:sz="4"/>
          <w:insideH w:val="single" w:color="C9D0DA" w:sz="4"/>
          <w:insideV w:val="single" w:color="C9D0DA" w:sz="4"/>
        </w:tblBorders>
      </w:tblPr>
      <w:tblGrid>
        <w:gridCol w:w="3400"/>
        <w:gridCol w:w="900"/>
        <w:gridCol w:w="900"/>
        <w:gridCol w:w="900"/>
        <w:gridCol w:w="3250"/>
      </w:tblGrid>
      <w:tr>
        <w:trPr>
          <w:tblHeader/>
        </w:trPr>
        <w:tc>
          <w:tcPr>
            <w:tcW w:type="dxa" w:w="34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Gill Sans MT" w:cs="Gill Sans MT" w:eastAsia="Gill Sans MT" w:hAnsi="Gill Sans MT"/>
                <w:b/>
                <w:bCs/>
                <w:color w:val="FFFFFF"/>
                <w:sz w:val="18"/>
                <w:szCs w:val="18"/>
              </w:rPr>
              <w:t xml:space="preserve">Régime</w:t>
            </w:r>
          </w:p>
        </w:tc>
        <w:tc>
          <w:tcPr>
            <w:tcW w:type="dxa" w:w="9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Gill Sans MT" w:cs="Gill Sans MT" w:eastAsia="Gill Sans MT" w:hAnsi="Gill Sans MT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9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Gill Sans MT" w:cs="Gill Sans MT" w:eastAsia="Gill Sans MT" w:hAnsi="Gill Sans MT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Gill Sans MT" w:cs="Gill Sans MT" w:eastAsia="Gill Sans MT" w:hAnsi="Gill Sans MT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325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Gill Sans MT" w:cs="Gill Sans MT" w:eastAsia="Gill Sans MT" w:hAnsi="Gill Sans MT"/>
                <w:b/>
                <w:bCs/>
                <w:color w:val="FFFFFF"/>
                <w:sz w:val="18"/>
                <w:szCs w:val="18"/>
              </w:rPr>
              <w:t xml:space="preserve">Lecture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Scalp liquide, petite taille, hors news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0,2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0,1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0,9</w:t>
            </w:r>
          </w:p>
        </w:tc>
        <w:tc>
          <w:tcPr>
            <w:tcW w:type="dxa" w:w="32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T bas : prudence faible exigée</w:t>
            </w:r>
          </w:p>
        </w:tc>
      </w:tr>
      <w:tr>
        <w:tc>
          <w:tcPr>
            <w:tcW w:type="dxa" w:w="34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Trade standard, taille normale</w:t>
            </w:r>
          </w:p>
        </w:tc>
        <w:tc>
          <w:tcPr>
            <w:tcW w:type="dxa" w:w="9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0,5</w:t>
            </w:r>
          </w:p>
        </w:tc>
        <w:tc>
          <w:tcPr>
            <w:tcW w:type="dxa" w:w="9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0,4</w:t>
            </w:r>
          </w:p>
        </w:tc>
        <w:tc>
          <w:tcPr>
            <w:tcW w:type="dxa" w:w="9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0,7</w:t>
            </w:r>
          </w:p>
        </w:tc>
        <w:tc>
          <w:tcPr>
            <w:tcW w:type="dxa" w:w="325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T moyen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News imminente, taille élevée, instrument volatil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0,9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0,8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0,3</w:t>
            </w:r>
          </w:p>
        </w:tc>
        <w:tc>
          <w:tcPr>
            <w:tcW w:type="dxa" w:w="32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T élevé : ESCALATE/STOP probables sauf C très élevé</w:t>
            </w:r>
          </w:p>
        </w:tc>
      </w:tr>
      <w:tr>
        <w:tc>
          <w:tcPr>
            <w:tcW w:type="dxa" w:w="34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Proche de la limite journalière (quel que soit l'ordre)</w:t>
            </w:r>
          </w:p>
        </w:tc>
        <w:tc>
          <w:tcPr>
            <w:tcW w:type="dxa" w:w="9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→ 1</w:t>
            </w:r>
          </w:p>
        </w:tc>
        <w:tc>
          <w:tcPr>
            <w:tcW w:type="dxa" w:w="9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25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T maximal visé : seuls STOP/ESCALATE admissibles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5563A" w:sz="4"/>
          <w:left w:val="single" w:color="B5563A" w:sz="24"/>
          <w:bottom w:val="single" w:color="B5563A" w:sz="4"/>
          <w:right w:val="single" w:color="B5563A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E8E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/>
            </w:pPr>
            <w:r>
              <w:rPr>
                <w:rFonts w:ascii="Gill Sans MT" w:cs="Gill Sans MT" w:eastAsia="Gill Sans MT" w:hAnsi="Gill Sans MT"/>
                <w:b/>
                <w:bCs/>
                <w:color w:val="B5563A"/>
                <w:sz w:val="19"/>
                <w:szCs w:val="19"/>
              </w:rPr>
              <w:t xml:space="preserve">POINT RELEVÉ EN REVUE — voir Addendum : sous les poids publiés (T = 0,6R + 0,3I + 0,1(1−Rev)), I=1 seul ne suffit pas à produire un T proche de 0,9 si R et Rev sont favorables. La dernière ligne de cette grille n'est pas garantie par la formule telle qu'écrite ; voir finding n°1 de l'addendum.</w:t>
            </w:r>
          </w:p>
        </w:tc>
      </w:tr>
    </w:tbl>
    <w:p>
      <w:pPr>
        <w:spacing w:after="160" w:before="12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politique est statique et auditable ; son application par HIBOU est dynamique et contextuelle : à politique égale, c'est l'état épistémique de l'entité (CSV) qui fait varier le verdict. C'est exactement la différence avec des limites de risque statiques.</w:t>
      </w:r>
    </w:p>
    <w:p>
      <w:r>
        <w:br w:type="page"/>
      </w:r>
    </w:p>
    <w:p>
      <w:pPr>
        <w:pStyle w:val="Heading1"/>
        <w:pBdr>
          <w:bottom w:val="single" w:color="C6A15B" w:sz="6" w:space="8"/>
        </w:pBdr>
        <w:spacing w:after="200"/>
      </w:pPr>
      <w:r>
        <w:rPr>
          <w:rFonts w:ascii="Garamond" w:cs="Garamond" w:eastAsia="Garamond" w:hAnsi="Garamond"/>
          <w:b/>
          <w:bCs/>
          <w:color w:val="0B1F3A"/>
          <w:sz w:val="40"/>
          <w:szCs w:val="40"/>
        </w:rPr>
        <w:t xml:space="preserve">Verdict → actions sur ordres</w:t>
      </w:r>
    </w:p>
    <w:p>
      <w:pPr>
        <w:spacing w:after="90" w:before="0"/>
      </w:pPr>
      <w:r>
        <w:rPr>
          <w:rFonts w:ascii="Gill Sans MT" w:cs="Gill Sans MT" w:eastAsia="Gill Sans MT" w:hAnsi="Gill Sans MT"/>
          <w:b/>
          <w:bCs/>
          <w:color w:val="0B1F3A"/>
          <w:sz w:val="21"/>
          <w:szCs w:val="21"/>
        </w:rPr>
        <w:t xml:space="preserve">Le treillis 5+2 appliqué au trading</w:t>
      </w:r>
    </w:p>
    <w:tbl>
      <w:tblPr>
        <w:tblW w:type="dxa" w:w="9350"/>
        <w:tblBorders>
          <w:top w:val="single" w:color="0B1F3A" w:sz="4"/>
          <w:left w:val="single" w:color="0B1F3A" w:sz="4"/>
          <w:bottom w:val="single" w:color="0B1F3A" w:sz="4"/>
          <w:right w:val="single" w:color="0B1F3A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081729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6A15B"/>
                <w:sz w:val="19"/>
                <w:szCs w:val="19"/>
              </w:rPr>
              <w:t xml:space="preserve">A = h(T, C, State)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6A15B"/>
                <w:sz w:val="19"/>
                <w:szCs w:val="19"/>
              </w:rPr>
              <w:t xml:space="preserve">OBSERVE &lt; RECOMMEND &lt; VERIFY &lt; DEGRADED &lt; ACT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C6A15B"/>
                <w:sz w:val="19"/>
                <w:szCs w:val="19"/>
              </w:rPr>
              <w:t xml:space="preserve">+ ESCALATE (gel, routage risk manager) / STOP (blocage, inconditionnel)</w:t>
            </w:r>
          </w:p>
        </w:tc>
      </w:tr>
    </w:tbl>
    <w:tbl>
      <w:tblPr>
        <w:tblW w:type="dxa" w:w="9350"/>
        <w:tblBorders>
          <w:top w:val="single" w:color="C9D0DA" w:sz="4"/>
          <w:left w:val="single" w:color="C9D0DA" w:sz="4"/>
          <w:bottom w:val="single" w:color="C9D0DA" w:sz="4"/>
          <w:right w:val="single" w:color="C9D0DA" w:sz="4"/>
          <w:insideH w:val="single" w:color="C9D0DA" w:sz="4"/>
          <w:insideV w:val="single" w:color="C9D0DA" w:sz="4"/>
        </w:tblBorders>
      </w:tblPr>
      <w:tblGrid>
        <w:gridCol w:w="1500"/>
        <w:gridCol w:w="3700"/>
        <w:gridCol w:w="4150"/>
      </w:tblGrid>
      <w:tr>
        <w:trPr>
          <w:tblHeader/>
        </w:trPr>
        <w:tc>
          <w:tcPr>
            <w:tcW w:type="dxa" w:w="15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Gill Sans MT" w:cs="Gill Sans MT" w:eastAsia="Gill Sans MT" w:hAnsi="Gill Sans MT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37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Gill Sans MT" w:cs="Gill Sans MT" w:eastAsia="Gill Sans MT" w:hAnsi="Gill Sans MT"/>
                <w:b/>
                <w:bCs/>
                <w:color w:val="FFFFFF"/>
                <w:sz w:val="18"/>
                <w:szCs w:val="18"/>
              </w:rPr>
              <w:t xml:space="preserve">Condition (voir note)</w:t>
            </w:r>
          </w:p>
        </w:tc>
        <w:tc>
          <w:tcPr>
            <w:tcW w:type="dxa" w:w="415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Gill Sans MT" w:cs="Gill Sans MT" w:eastAsia="Gill Sans MT" w:hAnsi="Gill Sans MT"/>
                <w:b/>
                <w:bCs/>
                <w:color w:val="FFFFFF"/>
                <w:sz w:val="18"/>
                <w:szCs w:val="18"/>
              </w:rPr>
              <w:t xml:space="preserve">Effet sur l'ordre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OBSERVE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C très inférieur au plancher, ou mode shadow</w:t>
            </w:r>
          </w:p>
        </w:tc>
        <w:tc>
          <w:tcPr>
            <w:tcW w:type="dxa" w:w="41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Intention loggée uniquement, aucun ordre transmis (shadow mode)</w:t>
            </w:r>
          </w:p>
        </w:tc>
      </w:tr>
      <w:tr>
        <w:tc>
          <w:tcPr>
            <w:tcW w:type="dxa" w:w="15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RECOMMEND</w:t>
            </w:r>
          </w:p>
        </w:tc>
        <w:tc>
          <w:tcPr>
            <w:tcW w:type="dxa" w:w="37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Enjeu modéré, confiance insuffisante pour ce palier</w:t>
            </w:r>
          </w:p>
        </w:tc>
        <w:tc>
          <w:tcPr>
            <w:tcW w:type="dxa" w:w="415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Recommandation émise (ex. réduire la taille à 40 %) ; exécution sur acceptation explicite du trader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VERIFY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Incertitude modérée</w:t>
            </w:r>
          </w:p>
        </w:tc>
        <w:tc>
          <w:tcPr>
            <w:tcW w:type="dxa" w:w="41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Ordre en attente ; confirmation explicite requise sous délai borné (défaut symbolique : 60 s), sinon ESCALATE</w:t>
            </w:r>
          </w:p>
        </w:tc>
      </w:tr>
      <w:tr>
        <w:tc>
          <w:tcPr>
            <w:tcW w:type="dxa" w:w="15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DEGRADED</w:t>
            </w:r>
          </w:p>
        </w:tc>
        <w:tc>
          <w:tcPr>
            <w:tcW w:type="dxa" w:w="37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T élevé avec confiance suffisante (ACT non accordé à ce palier)</w:t>
            </w:r>
          </w:p>
        </w:tc>
        <w:tc>
          <w:tcPr>
            <w:tcW w:type="dxa" w:w="415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Ordre transmis à capacité réduite : downsize automatique via k⃗ (intensité), bornes strictes ; trader notifié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ACT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Confiance suffisante, hors palier de prudence maximal, aucun gate</w:t>
            </w:r>
          </w:p>
        </w:tc>
        <w:tc>
          <w:tcPr>
            <w:tcW w:type="dxa" w:w="41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Ordre transmis tel quel</w:t>
            </w:r>
          </w:p>
        </w:tc>
      </w:tr>
      <w:tr>
        <w:tc>
          <w:tcPr>
            <w:tcW w:type="dxa" w:w="15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ESCALATE</w:t>
            </w:r>
          </w:p>
        </w:tc>
        <w:tc>
          <w:tcPr>
            <w:tcW w:type="dxa" w:w="37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Enjeu élevé (T ≥ 0,9) ou confiance insuffisante à enjeu élevé</w:t>
            </w:r>
          </w:p>
        </w:tc>
        <w:tc>
          <w:tcPr>
            <w:tcW w:type="dxa" w:w="415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Ordre gelé et routé au risk manager avec le dossier complet (CSV, State, T, C, justification)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STOP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UNKNOWN/CONFLICTED, veto C = 0, ou palier maximal sans base fiable</w:t>
            </w:r>
          </w:p>
        </w:tc>
        <w:tc>
          <w:tcPr>
            <w:tcW w:type="dxa" w:w="41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Ordre bloqué, loggé, alerte immédiate — inconditionnel</w:t>
            </w:r>
          </w:p>
        </w:tc>
      </w:tr>
    </w:tbl>
    <w:p>
      <w:pPr>
        <w:spacing w:after="100"/>
      </w:pP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/>
          <w:iCs/>
          <w:color w:val="5B6472"/>
          <w:sz w:val="21"/>
          <w:szCs w:val="21"/>
        </w:rPr>
        <w:t xml:space="preserve">Note — les conditions ci-dessus sont descriptives. L'autorité est l'implémentation réelle de decide_action (hibou-poc-a, 37 tests verts) : les bandes de T, les seuils de C et leurs interactions précises n'y sont pas reproduites terme à terme — voir finding n°2 de l'addendum.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SEEK (directive, pas un niveau)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Si des entrées requises manquent (typiquement G bas : exposition nette inconnue, limite restante inconnue), la couche de diagnostic émet SEEK avant l'appel à decide_action : l'adaptateur collecte le contexte manquant puis ré-évalue, dans une borne stricte (défaut symbolique : 2 tentatives / 30 s). Épuisement → STOP si State = UNKNOWN ou CONFLICTED, sinon ESCALATE.</w:t>
      </w:r>
    </w:p>
    <w:tbl>
      <w:tblPr>
        <w:tblW w:type="dxa" w:w="9350"/>
        <w:tblBorders>
          <w:top w:val="none" w:color="FFFFFF" w:sz="0"/>
          <w:left w:val="single" w:color="C6A1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0B1F3A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r>
              <w:rPr>
                <w:rFonts w:ascii="Garamond" w:cs="Garamond" w:eastAsia="Garamond" w:hAnsi="Garamond"/>
                <w:i/>
                <w:iCs/>
                <w:color w:val="FFFFFF"/>
                <w:sz w:val="25"/>
                <w:szCs w:val="25"/>
              </w:rPr>
              <w:t xml:space="preserve">ESCALATE et STOP ne sont jamais compensés par un score de confiance élevé. Au palier maximal (T ≥ 0,9), seuls STOP et ESCALATE sont admissibles : ACT n'est jamais accordé quand la décision exige la prudence la plus élevée.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A15B" w:sz="6" w:space="8"/>
        </w:pBdr>
        <w:spacing w:after="200"/>
      </w:pPr>
      <w:r>
        <w:rPr>
          <w:rFonts w:ascii="Garamond" w:cs="Garamond" w:eastAsia="Garamond" w:hAnsi="Garamond"/>
          <w:b/>
          <w:bCs/>
          <w:color w:val="0B1F3A"/>
          <w:sz w:val="40"/>
          <w:szCs w:val="40"/>
        </w:rPr>
        <w:t xml:space="preserve">CRE appliqué au trading</w:t>
      </w:r>
    </w:p>
    <w:p>
      <w:pPr>
        <w:spacing w:after="90" w:before="0"/>
      </w:pPr>
      <w:r>
        <w:rPr>
          <w:rFonts w:ascii="Gill Sans MT" w:cs="Gill Sans MT" w:eastAsia="Gill Sans MT" w:hAnsi="Gill Sans MT"/>
          <w:b/>
          <w:bCs/>
          <w:color w:val="0B1F3A"/>
          <w:sz w:val="21"/>
          <w:szCs w:val="21"/>
        </w:rPr>
        <w:t xml:space="preserve">Le vecteur de capacité k⃗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À l'intérieur d'un niveau du treillis, la capacité d'action est une grandeur continue : k⃗ = (intensité, périmètre, exposition, durée, niveau).</w:t>
      </w:r>
    </w:p>
    <w:tbl>
      <w:tblPr>
        <w:tblW w:type="dxa" w:w="9350"/>
        <w:tblBorders>
          <w:top w:val="single" w:color="C9D0DA" w:sz="4"/>
          <w:left w:val="single" w:color="C9D0DA" w:sz="4"/>
          <w:bottom w:val="single" w:color="C9D0DA" w:sz="4"/>
          <w:right w:val="single" w:color="C9D0DA" w:sz="4"/>
          <w:insideH w:val="single" w:color="C9D0DA" w:sz="4"/>
          <w:insideV w:val="single" w:color="C9D0DA" w:sz="4"/>
        </w:tblBorders>
      </w:tblPr>
      <w:tblGrid>
        <w:gridCol w:w="2200"/>
        <w:gridCol w:w="3700"/>
        <w:gridCol w:w="3450"/>
      </w:tblGrid>
      <w:tr>
        <w:trPr>
          <w:tblHeader/>
        </w:trPr>
        <w:tc>
          <w:tcPr>
            <w:tcW w:type="dxa" w:w="22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Gill Sans MT" w:cs="Gill Sans MT" w:eastAsia="Gill Sans MT" w:hAnsi="Gill Sans MT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70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Gill Sans MT" w:cs="Gill Sans MT" w:eastAsia="Gill Sans MT" w:hAnsi="Gill Sans MT"/>
                <w:b/>
                <w:bCs/>
                <w:color w:val="FFFFFF"/>
                <w:sz w:val="18"/>
                <w:szCs w:val="18"/>
              </w:rPr>
              <w:t xml:space="preserve">Trading</w:t>
            </w:r>
          </w:p>
        </w:tc>
        <w:tc>
          <w:tcPr>
            <w:tcW w:type="dxa" w:w="3450"/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Gill Sans MT" w:cs="Gill Sans MT" w:eastAsia="Gill Sans MT" w:hAnsi="Gill Sans MT"/>
                <w:b/>
                <w:bCs/>
                <w:color w:val="FFFFFF"/>
                <w:sz w:val="18"/>
                <w:szCs w:val="18"/>
              </w:rPr>
              <w:t xml:space="preserve">Exemple d'effet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Intensité i ∈ [0,1]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Fraction de la taille demandée autorisée</w:t>
            </w:r>
          </w:p>
        </w:tc>
        <w:tc>
          <w:tcPr>
            <w:tcW w:type="dxa" w:w="34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DEGRADED avec i = 0,4 → l'ordre passe à 40 % de la taille</w:t>
            </w:r>
          </w:p>
        </w:tc>
      </w:tr>
      <w:tr>
        <w:tc>
          <w:tcPr>
            <w:tcW w:type="dxa" w:w="22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Périmètre P</w:t>
            </w:r>
          </w:p>
        </w:tc>
        <w:tc>
          <w:tcPr>
            <w:tcW w:type="dxa" w:w="37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Instruments / sessions autorisés pour l'entité</w:t>
            </w:r>
          </w:p>
        </w:tc>
        <w:tc>
          <w:tcPr>
            <w:tcW w:type="dxa" w:w="345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Après 2 ESCALATE : P restreint aux majors liquides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Exposition E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Plafond d'exposition nette / brute</w:t>
            </w:r>
          </w:p>
        </w:tc>
        <w:tc>
          <w:tcPr>
            <w:tcW w:type="dxa" w:w="34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E réduit de moitié après un STOP</w:t>
            </w:r>
          </w:p>
        </w:tc>
      </w:tr>
      <w:tr>
        <w:tc>
          <w:tcPr>
            <w:tcW w:type="dxa" w:w="22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Durée D</w:t>
            </w:r>
          </w:p>
        </w:tc>
        <w:tc>
          <w:tcPr>
            <w:tcW w:type="dxa" w:w="37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Durée max en position / heure de fin de session</w:t>
            </w:r>
          </w:p>
        </w:tc>
        <w:tc>
          <w:tcPr>
            <w:tcW w:type="dxa" w:w="345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Session écourtée après dérive comportementale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Niveau L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Niveau du treillis (borne explicite, redondante avec A)</w:t>
            </w:r>
          </w:p>
        </w:tc>
        <w:tc>
          <w:tcPr>
            <w:tcW w:type="dxa" w:w="34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ill Sans MT" w:cs="Gill Sans MT" w:eastAsia="Gill Sans MT" w:hAnsi="Gill Sans MT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Règles de régulation (canoniques, CRE spec v2)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Hystérésis par entité : on bride vite (θ_down franchi → contraction immédiate), on restaure lentement (θ_up &gt; θ_down) — circuit breaker comportemental : après un tilt détecté, la capacité ne revient pas au premier trade vert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Slew-rate borné : |Δk⃗/Δt| ≤ R_max, sauf réduction critique immédiate (breach de limite → intensité à 0 sans délai)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ESCALATE/STOP immédiats : jamais retardés par l'hystérésis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Fail-conservateur : panne d'HIBOU (timeout τ_out dépassé) → ordres bloqués, jamais plus permissifs ; reprise sans saut, via l'hystérésis normale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Anti-gaming : seuils en bande (pas de seuil unique exploitable) ; audit offline des patterns d'évitement</w:t>
      </w:r>
    </w:p>
    <w:p>
      <w:pPr>
        <w:spacing w:after="160" w:before="12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Ancrage symbolique de l'intensité en DEGRADED : i = clamp(C / T, i_min, 1), i_min fixé par la politique (défaut symbolique : 0,25). En dessous de i_min, DEGRADED bascule en VERIFY.</w:t>
      </w:r>
    </w:p>
    <w:p>
      <w:r>
        <w:br w:type="page"/>
      </w:r>
    </w:p>
    <w:p>
      <w:pPr>
        <w:pStyle w:val="Heading1"/>
        <w:pBdr>
          <w:bottom w:val="single" w:color="C6A15B" w:sz="6" w:space="8"/>
        </w:pBdr>
        <w:spacing w:after="200"/>
      </w:pPr>
      <w:r>
        <w:rPr>
          <w:rFonts w:ascii="Garamond" w:cs="Garamond" w:eastAsia="Garamond" w:hAnsi="Garamond"/>
          <w:b/>
          <w:bCs/>
          <w:color w:val="0B1F3A"/>
          <w:sz w:val="40"/>
          <w:szCs w:val="40"/>
        </w:rPr>
        <w:t xml:space="preserve">Contrat d'API</w:t>
      </w:r>
    </w:p>
    <w:p>
      <w:pPr>
        <w:spacing w:after="90" w:before="0"/>
      </w:pPr>
      <w:r>
        <w:rPr>
          <w:rFonts w:ascii="Gill Sans MT" w:cs="Gill Sans MT" w:eastAsia="Gill Sans MT" w:hAnsi="Gill Sans MT"/>
          <w:b/>
          <w:bCs/>
          <w:color w:val="0B1F3A"/>
          <w:sz w:val="21"/>
          <w:szCs w:val="21"/>
        </w:rPr>
        <w:t xml:space="preserve">Soumission, feedback, traçabilité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7.1 — Soumission du contexte de décision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0B1F3A"/>
          <w:sz w:val="21"/>
          <w:szCs w:val="21"/>
        </w:rPr>
        <w:t xml:space="preserve">POST /submit_decision_context</w:t>
      </w:r>
    </w:p>
    <w:tbl>
      <w:tblPr>
        <w:tblW w:type="dxa" w:w="9350"/>
        <w:tblBorders>
          <w:top w:val="single" w:color="0B1F3A" w:sz="4"/>
          <w:left w:val="single" w:color="0B1F3A" w:sz="4"/>
          <w:bottom w:val="single" w:color="0B1F3A" w:sz="4"/>
          <w:right w:val="single" w:color="0B1F3A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081729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6A15B"/>
                <w:sz w:val="19"/>
                <w:szCs w:val="19"/>
              </w:rPr>
              <w:t xml:space="preserve">{ "entity_id": "trader_a", "entity_type": "human | algo",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6A15B"/>
                <w:sz w:val="19"/>
                <w:szCs w:val="19"/>
              </w:rPr>
              <w:t xml:space="preserve">  "order_intent": {"symbol":"EURUSD","side":"buy","size":2.0,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6A15B"/>
                <w:sz w:val="19"/>
                <w:szCs w:val="19"/>
              </w:rPr>
              <w:t xml:space="preserve">    "size_unit":"lots","order_type":"market | limit","price":1.0842},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6A15B"/>
                <w:sz w:val="19"/>
                <w:szCs w:val="19"/>
              </w:rPr>
              <w:t xml:space="preserve">  "context": {"R":0.5,"I":0.4,"Rev":0.7,"session_pnl":-320.0,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C6A15B"/>
                <w:sz w:val="19"/>
                <w:szCs w:val="19"/>
              </w:rPr>
              <w:t xml:space="preserve">    "daily_loss_limit":1000.0,"net_exposure":4.5} }</w:t>
            </w:r>
          </w:p>
        </w:tc>
      </w:tr>
    </w:tbl>
    <w:p>
      <w:pPr>
        <w:spacing w:after="160" w:before="10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Sortie :</w:t>
      </w:r>
    </w:p>
    <w:tbl>
      <w:tblPr>
        <w:tblW w:type="dxa" w:w="9350"/>
        <w:tblBorders>
          <w:top w:val="single" w:color="0B1F3A" w:sz="4"/>
          <w:left w:val="single" w:color="0B1F3A" w:sz="4"/>
          <w:bottom w:val="single" w:color="0B1F3A" w:sz="4"/>
          <w:right w:val="single" w:color="0B1F3A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081729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6A15B"/>
                <w:sz w:val="19"/>
                <w:szCs w:val="19"/>
              </w:rPr>
              <w:t xml:space="preserve">{ "A":"DEGRADED", "C":0.62, "C_raw":0.62, "State":"STABLE", "T":0.71,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6A15B"/>
                <w:sz w:val="19"/>
                <w:szCs w:val="19"/>
              </w:rPr>
              <w:t xml:space="preserve">  "k_applied": {"intensite":0.5,"perimetre":"full","exposition":1.0,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6A15B"/>
                <w:sz w:val="19"/>
                <w:szCs w:val="19"/>
              </w:rPr>
              <w:t xml:space="preserve">    "duree":1.0,"niveau":"DEGRADED"},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6A15B"/>
                <w:sz w:val="19"/>
                <w:szCs w:val="19"/>
              </w:rPr>
              <w:t xml:space="preserve">  "order_effective": {"size":1.0,"size_unit":"lots"},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6A15B"/>
                <w:sz w:val="19"/>
                <w:szCs w:val="19"/>
              </w:rPr>
              <w:t xml:space="preserve">  "justification": "S=0.55 (3 pertes, tilt possible) ; E=0.8 ; T=0.71&gt;C=0.62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6A15B"/>
                <w:sz w:val="19"/>
                <w:szCs w:val="19"/>
              </w:rPr>
              <w:t xml:space="preserve">    -&gt; DEGRADED, taille reduite a 50%.",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C6A15B"/>
                <w:sz w:val="19"/>
                <w:szCs w:val="19"/>
              </w:rPr>
              <w:t xml:space="preserve">  "decision_id": "d_9f31..." }</w:t>
            </w:r>
          </w:p>
        </w:tc>
      </w:tr>
    </w:tbl>
    <w:p>
      <w:pPr>
        <w:spacing w:after="160" w:before="100" w:line="300"/>
      </w:pPr>
      <w:r>
        <w:rPr>
          <w:rFonts w:ascii="Gill Sans MT" w:cs="Gill Sans MT" w:eastAsia="Gill Sans MT" w:hAnsi="Gill Sans MT"/>
          <w:b w:val="false"/>
          <w:bCs w:val="false"/>
          <w:i/>
          <w:iCs/>
          <w:color w:val="5B6472"/>
          <w:sz w:val="21"/>
          <w:szCs w:val="21"/>
        </w:rPr>
        <w:t xml:space="preserve">Le hook broker n'arbitre rien : il transmet l'intention, applique l'effet retourné, et logge. Le véto est exclusif à HIBOU.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7.2 — Feedback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0B1F3A"/>
          <w:sz w:val="21"/>
          <w:szCs w:val="21"/>
        </w:rPr>
        <w:t xml:space="preserve">POST /outcome — appelé automatiquement sur chaque fill :</w:t>
      </w:r>
    </w:p>
    <w:tbl>
      <w:tblPr>
        <w:tblW w:type="dxa" w:w="9350"/>
        <w:tblBorders>
          <w:top w:val="single" w:color="0B1F3A" w:sz="4"/>
          <w:left w:val="single" w:color="0B1F3A" w:sz="4"/>
          <w:bottom w:val="single" w:color="0B1F3A" w:sz="4"/>
          <w:right w:val="single" w:color="0B1F3A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081729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6A15B"/>
                <w:sz w:val="19"/>
                <w:szCs w:val="19"/>
              </w:rPr>
              <w:t xml:space="preserve">{ "decision_id":"d_9f31...", "fill_price":1.0851, "fill_size":1.0,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C6A15B"/>
                <w:sz w:val="19"/>
                <w:szCs w:val="19"/>
              </w:rPr>
              <w:t xml:space="preserve">  "pnl":18.0, "closed_at":"2026-10-04T14:32:00Z" }</w:t>
            </w:r>
          </w:p>
        </w:tc>
      </w:tr>
    </w:tbl>
    <w:p>
      <w:pPr>
        <w:spacing w:after="160" w:before="10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Chaque trade devient une décision traçable sans saisie manuelle — l'accélérateur de la calibration côté trading.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7.3 — Traçabilité (non négociable)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Chaque verdict est loggé avec : CSV normalisé, State, C_raw, C, plafond appliqué, T (avec R/I/Rev d'entrée), A, k⃗ appliqué, provenance des preuves, justification métacognitive — carburant de la calibration et de l'audit réglementaire (journal natif, contrôle humain démontrable).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7.4 — Revue et arbitrage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/review (revue experte en aveugle du processus, ~30 décisions/cycle) et /arbitration (résolution humaine des non-ACT avec accord/désaccord explicite), conformément au Document Technique v1.</w:t>
      </w:r>
    </w:p>
    <w:p>
      <w:r>
        <w:br w:type="page"/>
      </w:r>
    </w:p>
    <w:p>
      <w:pPr>
        <w:pStyle w:val="Heading1"/>
        <w:pBdr>
          <w:bottom w:val="single" w:color="C6A15B" w:sz="6" w:space="8"/>
        </w:pBdr>
        <w:spacing w:after="200"/>
      </w:pPr>
      <w:r>
        <w:rPr>
          <w:rFonts w:ascii="Garamond" w:cs="Garamond" w:eastAsia="Garamond" w:hAnsi="Garamond"/>
          <w:b/>
          <w:bCs/>
          <w:color w:val="0B1F3A"/>
          <w:sz w:val="40"/>
          <w:szCs w:val="40"/>
        </w:rPr>
        <w:t xml:space="preserve">Invariants</w:t>
      </w:r>
    </w:p>
    <w:p>
      <w:pPr>
        <w:spacing w:after="90" w:before="0"/>
      </w:pPr>
      <w:r>
        <w:rPr>
          <w:rFonts w:ascii="Gill Sans MT" w:cs="Gill Sans MT" w:eastAsia="Gill Sans MT" w:hAnsi="Gill Sans MT"/>
          <w:b/>
          <w:bCs/>
          <w:color w:val="0B1F3A"/>
          <w:sz w:val="21"/>
          <w:szCs w:val="21"/>
        </w:rPr>
        <w:t xml:space="preserve">Rappel applicable à l'adaptateur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L'adaptateur ne doit jamais violer ces invariants du kernel (Manifeste V2, Partie VII–IX, XIII) 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1. ∂T/∂C = 0 — la politique R/I/Rev ne dépend jamais de la confiance de l'entité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2. CSV → State → C — le verdict métacognitif précède et plafonne le score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3. Non-compensation — les hard gates sont évalués avant toute agrégation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4. C ≤ Cap(State) — aucun score ne rachète un état dégradé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5. Véto exclusif de HIBOU — le hook broker exécute uniquement l'autorisé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6. STOP si UNKNOWN ou CONFLICTED, quel que soit 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7. Véto de confiance : C = 0 → STOP, sans condition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8. T ≥ 0,9 → seuls STOP et ESCALATE sont admissibles</w:t>
      </w:r>
    </w:p>
    <w:p>
      <w:r>
        <w:br w:type="page"/>
      </w:r>
    </w:p>
    <w:p>
      <w:pPr>
        <w:pStyle w:val="Heading1"/>
        <w:pBdr>
          <w:bottom w:val="single" w:color="C6A15B" w:sz="6" w:space="8"/>
        </w:pBdr>
        <w:spacing w:after="200"/>
      </w:pPr>
      <w:r>
        <w:rPr>
          <w:rFonts w:ascii="Garamond" w:cs="Garamond" w:eastAsia="Garamond" w:hAnsi="Garamond"/>
          <w:b/>
          <w:bCs/>
          <w:color w:val="0B1F3A"/>
          <w:sz w:val="40"/>
          <w:szCs w:val="40"/>
        </w:rPr>
        <w:t xml:space="preserve">Calibration (volet trading)</w:t>
      </w:r>
    </w:p>
    <w:p>
      <w:pPr>
        <w:spacing w:after="90" w:before="0"/>
      </w:pPr>
      <w:r>
        <w:rPr>
          <w:rFonts w:ascii="Gill Sans MT" w:cs="Gill Sans MT" w:eastAsia="Gill Sans MT" w:hAnsi="Gill Sans MT"/>
          <w:b/>
          <w:bCs/>
          <w:color w:val="0B1F3A"/>
          <w:sz w:val="21"/>
          <w:szCs w:val="21"/>
        </w:rPr>
        <w:t xml:space="preserve">Séquencement, paramètres, métriques honnêtes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Séquençage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 cycle 1 DIPOS reste le prérequis. Le pilote trading démarre en shadow mode (OBSERVE sur flux réel, 4 semaines minimum), puis 4 semaines de gouvernance active. Aucune exposition réelle sous seuils non calibrés.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Paramètres gouvernés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Grille R/I/Rev de la politique, ancrages CSV par dimension, poids α d'agrégation, plafonds d'état, θ_down/θ_up, slew-rate R_max, bornes DEGRADED (i_min). Révision contrôlée uniquement (proposition → revue → versionnage → redémarrage versionné + rollback).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Tagging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Chaque finding de calibration est tagué transversal (remonte au kernel) vs domaine (reste dans l'adaptateur trading).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Métriques honnêtes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Taux d'intervention par niveau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Cas UNKNOWN/CONFLICTED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Pièges de haute confiance interceptés (C élevé &lt; T)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ill Sans MT" w:cs="Gill Sans MT" w:eastAsia="Gill Sans MT" w:hAnsi="Gill Sans MT"/>
          <w:b w:val="false"/>
          <w:bCs w:val="false"/>
          <w:color w:val="1A1A1A"/>
          <w:sz w:val="21"/>
          <w:szCs w:val="21"/>
        </w:rPr>
        <w:t xml:space="preserve">Shadow outcome : P&amp;L contrefactuel (ce qui se serait passé sans HIBOU)</w:t>
      </w:r>
    </w:p>
    <w:tbl>
      <w:tblPr>
        <w:tblW w:type="dxa" w:w="9350"/>
        <w:tblBorders>
          <w:top w:val="none" w:color="FFFFFF" w:sz="0"/>
          <w:left w:val="single" w:color="C6A1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0B1F3A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r>
              <w:rPr>
                <w:rFonts w:ascii="Garamond" w:cs="Garamond" w:eastAsia="Garamond" w:hAnsi="Garamond"/>
                <w:i/>
                <w:iCs/>
                <w:color w:val="FFFFFF"/>
                <w:sz w:val="25"/>
                <w:szCs w:val="25"/>
              </w:rPr>
              <w:t xml:space="preserve">Jamais de promesse de gain de rentabilité : le plafond de valeur est la tranche comportementale des pertes.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A15B" w:sz="6" w:space="8"/>
        </w:pBdr>
        <w:spacing w:after="200"/>
      </w:pPr>
      <w:r>
        <w:rPr>
          <w:rFonts w:ascii="Garamond" w:cs="Garamond" w:eastAsia="Garamond" w:hAnsi="Garamond"/>
          <w:b/>
          <w:bCs/>
          <w:color w:val="0B1F3A"/>
          <w:sz w:val="40"/>
          <w:szCs w:val="40"/>
        </w:rPr>
        <w:t xml:space="preserve">Questions ouvertes et risques</w:t>
      </w:r>
    </w:p>
    <w:p>
      <w:pPr>
        <w:spacing w:after="90" w:before="0"/>
      </w:pPr>
      <w:r>
        <w:rPr>
          <w:rFonts w:ascii="Gill Sans MT" w:cs="Gill Sans MT" w:eastAsia="Gill Sans MT" w:hAnsi="Gill Sans MT"/>
          <w:b/>
          <w:bCs/>
          <w:color w:val="0B1F3A"/>
          <w:sz w:val="21"/>
          <w:szCs w:val="21"/>
        </w:rPr>
        <w:t xml:space="preserve">Non tranchées à ce stade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1.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Budget de latence — pas de cible fixée : mesurer p50/p99 du hook en shadow mode sur le pilote, puis figer le budget. Contrainte : ne pas dégrader l'exécution des algos existants (HFT exclu par construction).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2.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APIs brokers cibles — FIX, REST, bridge MT4/MT5 ? Quel format d'intention d'ordre exiger des algos existants ?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3.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Signaux comportementaux humains — quelles données sont réellement accessibles via les plateformes des prop firms (journal, horodatage, tailles) ? Conditionne la qualité du mapping S et M.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4.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Stockage M/S par entité — volume, fraîcheur, persistance, isolation inter-entités.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5.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Politique par défaut — fournir une grille R/I/Rev de démarrage (symbolique) pour les firms sans politique existante, en la marquant explicitement comme non calibrée.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6.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Timeline 90 jours — à re-chiffrer (calibration cycle 1 + adaptateur + pilote), sans dépendance bloquante à un tiers pour les décisions d'architecture.</w:t>
      </w:r>
    </w:p>
    <w:p>
      <w:r>
        <w:br w:type="page"/>
      </w:r>
    </w:p>
    <w:p>
      <w:pPr>
        <w:pStyle w:val="Heading1"/>
        <w:pBdr>
          <w:bottom w:val="single" w:color="C6A15B" w:sz="6" w:space="8"/>
        </w:pBdr>
        <w:spacing w:after="200"/>
      </w:pPr>
      <w:r>
        <w:rPr>
          <w:rFonts w:ascii="Garamond" w:cs="Garamond" w:eastAsia="Garamond" w:hAnsi="Garamond"/>
          <w:b/>
          <w:bCs/>
          <w:color w:val="0B1F3A"/>
          <w:sz w:val="40"/>
          <w:szCs w:val="40"/>
        </w:rPr>
        <w:t xml:space="preserve">Addendum — Revue d'expert deep-tech</w:t>
      </w:r>
    </w:p>
    <w:p>
      <w:pPr>
        <w:spacing w:after="90" w:before="0"/>
      </w:pPr>
      <w:r>
        <w:rPr>
          <w:rFonts w:ascii="Gill Sans MT" w:cs="Gill Sans MT" w:eastAsia="Gill Sans MT" w:hAnsi="Gill Sans MT"/>
          <w:b/>
          <w:bCs/>
          <w:color w:val="0B1F3A"/>
          <w:sz w:val="21"/>
          <w:szCs w:val="21"/>
        </w:rPr>
        <w:t xml:space="preserve">4 octobre 2026 — à trancher avant implémentation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Cette revue vérifie la cohérence de la spec avec le kernel déjà implémenté et testé (hibou-poc-a, 37 tests verts) et avec le Document Technique v1. Elle ne modifie rien : les quatre points ci-dessous sont des questions ouvertes supplémentaires, classées par sévérité, remises à l'arbitrage de Denard / Cooper avant tout développement du hook.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1 — [Sévère] La grille de politique (§4) n'est pas garantie par la formule T publiée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ligne « Proche de la limite journalière (quel que soit l'ordre) → T maximal, seuls STOP/ESCALATE admissibles » n'est pas assurée par T = 0,6·R + 0,3·I + 0,1·(1−Rev) (Document Technique v0). </w:t>
      </w:r>
    </w:p>
    <w:tbl>
      <w:tblPr>
        <w:tblW w:type="dxa" w:w="9350"/>
        <w:tblBorders>
          <w:top w:val="none" w:color="FFFFFF" w:sz="0"/>
          <w:left w:val="single" w:color="C6A1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0B1F3A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r>
              <w:rPr>
                <w:rFonts w:ascii="Garamond" w:cs="Garamond" w:eastAsia="Garamond" w:hAnsi="Garamond"/>
                <w:i/>
                <w:iCs/>
                <w:color w:val="FFFFFF"/>
                <w:sz w:val="25"/>
                <w:szCs w:val="25"/>
              </w:rPr>
              <w:t xml:space="preserve">Scénario concret : trader proche de sa limite journalière (I → 1), ordre scalp sur instrument liquide (R = 0,2), hors news, hautement réversible (Rev = 0,9) → T ≈ 0,43. Bande VERIFY/ACT, pas STOP/ESCALATE — alors que c'est exactement la situation que la grille veut neutraliser, et exactement la cause citée de 60–70 % des échecs en prop firm.</w:t>
            </w:r>
          </w:p>
        </w:tc>
      </w:tr>
    </w:tbl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Recommandation : soit un hard gate sur I au-delà d'un seuil (symétrique aux hard gates du CSV), soit une clause explicite de dérogation forçant T = 0,95 indépendamment de R et Rev lorsque la limite journalière est proche — à trancher et documenter avant calibration, pas après.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2 — [Modéré] Le tableau §5 ne reflète pas exactement decide_action tel qu'implémenté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 tableau décrit DEGRADED comme « C légèrement sous T » et ACT comme « C ≥ T, aucun gate ». Dans le code testé, à T ∈ [0,7 ; 0,9[ : DEGRADED survient quand C ≥ 0,85 (confiance haute, pas basse) et ACT n'est jamais accordé dans cette bande, quelle que soit C — invariant explicite au §0 de ce document, mais en tension avec les libellés du §5.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Recommandation : le tableau du §5 a été reformulé ci-dessus en termes qualitatifs pour éviter la contradiction directe ; un développeur doit néanmoins implémenter le hook en appelant le kernel réel, jamais en recodant les bandes à partir de ce tableau.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3 — [Mineur] Formulation SEEK ambiguë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« Le kernel émet SEEK » risquait de rouvrir la distinction tranchée le 28 septembre 2026 (SEEK = sous-état de diagnostic, jamais une sortie de h(T, C, State)). Corrigé dans ce document (§5) en « la couche de diagnostic émet SEEK avant l'appel à decide_action ».</w:t>
      </w:r>
    </w:p>
    <w:p>
      <w:pPr>
        <w:spacing w:after="90" w:before="200"/>
      </w:pPr>
      <w:r>
        <w:rPr>
          <w:rFonts w:ascii="Gill Sans MT" w:cs="Gill Sans MT" w:eastAsia="Gill Sans MT" w:hAnsi="Gill Sans MT"/>
          <w:b/>
          <w:bCs/>
          <w:color w:val="C6A15B"/>
          <w:sz w:val="21"/>
          <w:szCs w:val="21"/>
        </w:rPr>
        <w:t xml:space="preserve">4 — [Mineur] Budgets de temps non consolidés</w:t>
      </w:r>
    </w:p>
    <w:p>
      <w:pPr>
        <w:spacing w:after="160" w:before="0" w:line="30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Trois délais distincts coexistent sans table commune : SEEK (2 tentatives / 30 s), VERIFY (confirmation sous 60 s), fail-conservateur (timeout τ_out, non défini dans la spec source). Recommandation : table unique des budgets de temps avant implémentation, pour éviter un chevauchement (ex. un VERIFY qui expire pendant qu'un SEEK est encore en cours).</w:t>
      </w:r>
    </w:p>
    <w:p>
      <w:pPr>
        <w:spacing w:after="200"/>
      </w:pPr>
    </w:p>
    <w:tbl>
      <w:tblPr>
        <w:tblW w:type="dxa" w:w="9350"/>
        <w:tblBorders>
          <w:top w:val="single" w:color="B5563A" w:sz="4"/>
          <w:left w:val="single" w:color="B5563A" w:sz="24"/>
          <w:bottom w:val="single" w:color="B5563A" w:sz="4"/>
          <w:right w:val="single" w:color="B5563A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E8E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/>
            </w:pPr>
            <w:r>
              <w:rPr>
                <w:rFonts w:ascii="Gill Sans MT" w:cs="Gill Sans MT" w:eastAsia="Gill Sans MT" w:hAnsi="Gill Sans MT"/>
                <w:b/>
                <w:bCs/>
                <w:color w:val="B5563A"/>
                <w:sz w:val="19"/>
                <w:szCs w:val="19"/>
              </w:rPr>
              <w:t xml:space="preserve">Ces quatre points n'ont pas été résolus unilatéralement : ils sont remis à la même gouvernance que le reste de l'architecture (Denard signe, Cooper peut trancher sur délégation, Roqia relit quand disponible).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ill Sans MT" w:cs="Gill Sans MT" w:eastAsia="Gill Sans MT" w:hAnsi="Gill Sans MT"/>
        <w:color w:val="5B6472"/>
        <w:sz w:val="14"/>
        <w:szCs w:val="14"/>
      </w:rPr>
      <w:t xml:space="preserve">AWA SYSTEMS — CONFIDENTIEL — NE PAS DIFFUSER  —  page </w:t>
    </w:r>
    <w:r>
      <w:rPr>
        <w:rFonts w:ascii="Gill Sans MT" w:cs="Gill Sans MT" w:eastAsia="Gill Sans MT" w:hAnsi="Gill Sans MT"/>
        <w:b/>
        <w:bCs/>
        <w:color w:val="0B1F3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Gill Sans MT" w:cs="Gill Sans MT" w:eastAsia="Gill Sans MT" w:hAnsi="Gill Sans MT"/>
        <w:color w:val="5B6472"/>
        <w:sz w:val="14"/>
        <w:szCs w:val="14"/>
      </w:rPr>
      <w:t xml:space="preserve"> / </w:t>
    </w:r>
    <w:r>
      <w:rPr>
        <w:rFonts w:ascii="Gill Sans MT" w:cs="Gill Sans MT" w:eastAsia="Gill Sans MT" w:hAnsi="Gill Sans MT"/>
        <w:color w:val="5B64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Gill Sans MT" w:cs="Gill Sans MT" w:eastAsia="Gill Sans MT" w:hAnsi="Gill Sans MT"/>
        <w:color w:val="5B6472"/>
        <w:spacing w:val="10"/>
        <w:sz w:val="14"/>
        <w:szCs w:val="14"/>
      </w:rPr>
      <w:t xml:space="preserve">HIBOU-OS · ADAPTATEUR TRADING ·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ill Sans MT" w:cs="Gill Sans MT" w:eastAsia="Gill Sans MT" w:hAnsi="Gill Sans MT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2026-10-04T19:29:31.939Z</dcterms:created>
  <dcterms:modified xsi:type="dcterms:W3CDTF">2026-10-04T19:29:31.945Z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