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 Black" w:hAnsi="Arial Black"/>
          <w:color w:val="F2A900"/>
          <w:sz w:val="62"/>
        </w:rPr>
        <w:t>FARE</w:t>
      </w:r>
      <w:r>
        <w:rPr>
          <w:rFonts w:ascii="Arial Black" w:hAnsi="Arial Black"/>
          <w:color w:val="0B347F"/>
          <w:sz w:val="62"/>
        </w:rPr>
        <w:t>GAS</w:t>
      </w:r>
    </w:p>
    <w:p>
      <w:pPr>
        <w:pStyle w:val="Title"/>
        <w:jc w:val="center"/>
      </w:pPr>
      <w:r>
        <w:t>Manual funcional FAREGAS</w:t>
      </w:r>
    </w:p>
    <w:p>
      <w:pPr>
        <w:pStyle w:val="Subtitle"/>
        <w:jc w:val="center"/>
      </w:pPr>
      <w:r>
        <w:t>Paso a paso para usuarios, operadores y responsables de planta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97"/>
        <w:gridCol w:w="4997"/>
      </w:tblGrid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Documento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Volumen 01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Corte técnico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 de agosto de 2026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Fuentes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Código frontend/backend y PostgreSQL en modo solo lectura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Estado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Construcción avanzada; Nubefact productivo pendiente</w:t>
            </w:r>
          </w:p>
        </w:tc>
      </w:tr>
    </w:tbl>
    <w:p/>
    <w:p>
      <w:pPr>
        <w:jc w:val="center"/>
      </w:pPr>
      <w:r>
        <w:rPr>
          <w:i/>
          <w:color w:val="667085"/>
          <w:sz w:val="17"/>
        </w:rPr>
        <w:t>Este documento describe el sistema observado; no modifica código ni base de datos.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7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Visión funcional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Acceso y selección de sede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Panel principal e historial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Asistente Nuevo Certificado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Tipos de certificado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Descuentos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Configuración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Usuarios y auditoría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Manejo de errores</w:t>
            </w:r>
          </w:p>
        </w:tc>
      </w:tr>
    </w:tbl>
    <w:p>
      <w:r>
        <w:br w:type="page"/>
      </w:r>
    </w:p>
    <w:p>
      <w:pPr>
        <w:pStyle w:val="Heading1"/>
      </w:pPr>
      <w:r>
        <w:t>1. Visión funcional</w:t>
      </w:r>
    </w:p>
    <w:p>
      <w:r>
        <w:t>FAREGAS administra el expediente completo de una certificación de conversión GLP/GNV o conformidad: selección del servicio, pago, datos técnicos, facturación, previsualización y emisión. La sede activa gobierna el catálogo, las tarifas y los correlativos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5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Inicio / Panel principal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borradores y certificados del día por defecto; admite búsqueda, sede/línea, paginación y rango histórico. Permite continuar un borrador.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Datos iniciales</w:t>
            </w:r>
          </w:p>
        </w:tc>
        <w:tc>
          <w:tcPr>
            <w:tcW w:type="dxa" w:w="5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Carga el catálogo dinámico según sede, registra servicio, placa y categoría; luego consulta datos y habilita descuentos.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Pago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Crea/consulta la orden, registra movimientos de pago y calcula saldo pendiente.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Vehículo y datos técnicos</w:t>
            </w:r>
          </w:p>
        </w:tc>
        <w:tc>
          <w:tcPr>
            <w:tcW w:type="dxa" w:w="5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Autocompleta desde FARENET, permite corrección controlada y captura titulares, componentes y verificaciones.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Facturación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 adquirente y prepara comprobante; el cierre productivo Nubefact sigue pendiente.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Previsualización</w:t>
            </w:r>
          </w:p>
        </w:tc>
        <w:tc>
          <w:tcPr>
            <w:tcW w:type="dxa" w:w="5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Renderiza uno de los cinco templates sin cambiar su estilo y reserva/reutiliza el correlativo real.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Nuevo Certificado — Verificación / Emisión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 completitud, pago, facturación y correlativo antes de emitir.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5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 cuentas FAREGAS, perfil y plantas; la contraseña se sincroniza con usuario FARENET si existe.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 actividad por módulo, usuario, perfil, resultado y rango de fechas.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Descuentos</w:t>
            </w:r>
          </w:p>
        </w:tc>
        <w:tc>
          <w:tcPr>
            <w:tcW w:type="dxa" w:w="5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 cabeceras, reglas por sede/servicio y códigos que autorizan el beneficio.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Configuración</w:t>
            </w:r>
          </w:p>
        </w:tc>
        <w:tc>
          <w:tcPr>
            <w:tcW w:type="dxa" w:w="5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 sedes, catálogo, facturación administrativa, correlativos y empresas.</w:t>
            </w:r>
          </w:p>
        </w:tc>
      </w:tr>
    </w:tbl>
    <w:p>
      <w:pPr>
        <w:pStyle w:val="Heading1"/>
      </w:pPr>
      <w:r>
        <w:t>2. Acceso y selección de sede</w:t>
      </w:r>
    </w:p>
    <w:p>
      <w:pPr>
        <w:pStyle w:val="ListNumber"/>
        <w:numPr>
          <w:ilvl w:val="0"/>
          <w:numId w:val="10"/>
        </w:numPr>
      </w:pPr>
      <w:r>
        <w:t>El usuario ingresa sus credenciales FAREGAS.</w:t>
      </w:r>
    </w:p>
    <w:p>
      <w:pPr>
        <w:pStyle w:val="ListNumber"/>
        <w:numPr>
          <w:ilvl w:val="0"/>
          <w:numId w:val="10"/>
        </w:numPr>
      </w:pPr>
      <w:r>
        <w:t>El backend valida fg_usuario, perfil y estado; registra el intento en auditoría.</w:t>
      </w:r>
    </w:p>
    <w:p>
      <w:pPr>
        <w:pStyle w:val="ListNumber"/>
        <w:numPr>
          <w:ilvl w:val="0"/>
          <w:numId w:val="10"/>
        </w:numPr>
      </w:pPr>
      <w:r>
        <w:t>Si el usuario tiene varias sedes, elige una; si solo tiene una, se confirma directamente.</w:t>
      </w:r>
    </w:p>
    <w:p>
      <w:pPr>
        <w:pStyle w:val="ListNumber"/>
        <w:numPr>
          <w:ilvl w:val="0"/>
          <w:numId w:val="10"/>
        </w:numPr>
      </w:pPr>
      <w:r>
        <w:t>La sede se conserva en la sesión y se muestra en la cabecera.</w:t>
      </w:r>
    </w:p>
    <w:p>
      <w:pPr>
        <w:pStyle w:val="ListNumber"/>
        <w:numPr>
          <w:ilvl w:val="0"/>
          <w:numId w:val="10"/>
        </w:numPr>
      </w:pPr>
      <w:r>
        <w:t>Cambiar de sede vuelve a cargar catálogo, tarifas y contexto operativo.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9994"/>
      </w:tblGrid>
      <w:tr>
        <w:tc>
          <w:tcPr>
            <w:tcW w:type="dxa" w:w="9994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Control. </w:t>
            </w:r>
            <w:r>
              <w:t>No se debe permitir operar con una sede no asignada al usuario/perfil. La sede activa debe viajar al backend a través de la sesión/token, no confiar únicamente en un selector visual.</w:t>
            </w:r>
          </w:p>
        </w:tc>
      </w:tr>
    </w:tbl>
    <w:p>
      <w:pPr>
        <w:spacing w:after="0"/>
      </w:pPr>
    </w:p>
    <w:p>
      <w:pPr>
        <w:pStyle w:val="Heading1"/>
      </w:pPr>
      <w:r>
        <w:t>3. Panel principal e historial</w:t>
      </w:r>
    </w:p>
    <w:p>
      <w:r>
        <w:t>Por defecto, Inicio muestra registros del día de la sede activa. El operador puede buscar por placa, documento o cliente, filtrar por línea/sede y usar un rango Desde–Hasta para consultar días o meses anteriores.</w:t>
      </w:r>
    </w:p>
    <w:p>
      <w:pPr>
        <w:pStyle w:val="ListBullet"/>
      </w:pPr>
      <w:r>
        <w:t>Borrador: expediente aún editable; la acción Continuar reabre el paso guardado.</w:t>
      </w:r>
    </w:p>
    <w:p>
      <w:pPr>
        <w:pStyle w:val="ListBullet"/>
      </w:pPr>
      <w:r>
        <w:t>Estado actual: explica dónde quedó el flujo (pago, vehículo, facturación, etc.).</w:t>
      </w:r>
    </w:p>
    <w:p>
      <w:pPr>
        <w:pStyle w:val="ListBullet"/>
      </w:pPr>
      <w:r>
        <w:t>Resultado: indica pendiente, observado o completado.</w:t>
      </w:r>
    </w:p>
    <w:p>
      <w:pPr>
        <w:pStyle w:val="ListBullet"/>
      </w:pPr>
      <w:r>
        <w:t>Estado certificado: diferencia BORRADOR de EMITIDO/ANULADO según la implementación vigente.</w:t>
      </w:r>
    </w:p>
    <w:p>
      <w:pPr>
        <w:pStyle w:val="Heading1"/>
      </w:pPr>
      <w:r>
        <w:t>4. Asistente Nuevo Certificado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Datos iniciales</w:t>
      </w:r>
    </w:p>
    <w:p>
      <w:pPr>
        <w:pStyle w:val="ListBullet"/>
      </w:pPr>
      <w:r>
        <w:t>El catálogo se obtiene de las tarifas activas de la sede; por eso no se muestran automáticamente los 275 SKU del catálogo de facturación.</w:t>
      </w:r>
    </w:p>
    <w:p>
      <w:pPr>
        <w:pStyle w:val="ListBullet"/>
      </w:pPr>
      <w:r>
        <w:t>Se elige el servicio (GLP, GNV, conformidad u otro flujo habilitado), se ingresa placa y categoría vehicular.</w:t>
      </w:r>
    </w:p>
    <w:p>
      <w:pPr>
        <w:pStyle w:val="ListBullet"/>
      </w:pPr>
      <w:r>
        <w:t>Al pulsar Consultar se crea/actualiza el borrador y se habilita el bloque de descuentos. No debe saltar automáticamente al paso Pago.</w:t>
      </w:r>
    </w:p>
    <w:p>
      <w:pPr>
        <w:pStyle w:val="ListBullet"/>
      </w:pPr>
      <w:r>
        <w:t>El descuento se consulta por código; el backend valida campaña activa, vigencia, sede, servicio, placa/documento y usos.</w:t>
      </w:r>
    </w:p>
    <w:p>
      <w:pPr>
        <w:pStyle w:val="ListBullet"/>
      </w:pPr>
      <w:r>
        <w:t>Siguiente Paso se habilita cuando la selección mínima fue consultada y persistida.</w:t>
      </w:r>
    </w:p>
    <w:p>
      <w:pPr>
        <w:pStyle w:val="Heading2"/>
      </w:pPr>
      <w:r>
        <w:t>4.2 Pago</w:t>
      </w:r>
    </w:p>
    <w:p>
      <w:pPr>
        <w:pStyle w:val="ListBullet"/>
      </w:pPr>
      <w:r>
        <w:t>Se crea o consulta una fg_orden_pago única por certificado.</w:t>
      </w:r>
    </w:p>
    <w:p>
      <w:pPr>
        <w:pStyle w:val="ListBullet"/>
      </w:pPr>
      <w:r>
        <w:t>El total nace de la tarifa de sede menos el descuento aplicado.</w:t>
      </w:r>
    </w:p>
    <w:p>
      <w:pPr>
        <w:pStyle w:val="ListBullet"/>
      </w:pPr>
      <w:r>
        <w:t>Cada movimiento se registra en fg_pago; pueden coexistir varios medios mientras el saldo sea válido.</w:t>
      </w:r>
    </w:p>
    <w:p>
      <w:pPr>
        <w:pStyle w:val="ListBullet"/>
      </w:pPr>
      <w:r>
        <w:t>El estado pasa a PAGADO cuando importe_pagado cubre el total; ANULADO no debe admitir nuevos pagos.</w:t>
      </w:r>
    </w:p>
    <w:p>
      <w:pPr>
        <w:pStyle w:val="Heading2"/>
      </w:pPr>
      <w:r>
        <w:t>4.3 Vehículo y datos técnicos</w:t>
      </w:r>
    </w:p>
    <w:p>
      <w:pPr>
        <w:pStyle w:val="ListBullet"/>
      </w:pPr>
      <w:r>
        <w:t>Por placa, el backend consulta tablas FARENET y devuelve la ficha disponible.</w:t>
      </w:r>
    </w:p>
    <w:p>
      <w:pPr>
        <w:pStyle w:val="ListBullet"/>
      </w:pPr>
      <w:r>
        <w:t>Los datos se copian a fg_certificado_vehiculo. Desde ese momento el certificado usa una instantánea editable, sin reescribir FARENET.</w:t>
      </w:r>
    </w:p>
    <w:p>
      <w:pPr>
        <w:pStyle w:val="ListBullet"/>
      </w:pPr>
      <w:r>
        <w:t>Se completan campos faltantes de tarjeta de propiedad, titulares y datos específicos GLP/GNV/conformidad.</w:t>
      </w:r>
    </w:p>
    <w:p>
      <w:pPr>
        <w:pStyle w:val="ListBullet"/>
      </w:pPr>
      <w:r>
        <w:t>Componentes y verificaciones se guardan en tablas hijas; el backend valida modalidad y servicio antes de aceptar datos.</w:t>
      </w:r>
    </w:p>
    <w:p>
      <w:pPr>
        <w:pStyle w:val="Heading2"/>
      </w:pPr>
      <w:r>
        <w:t>4.4 Facturación</w:t>
      </w:r>
    </w:p>
    <w:p>
      <w:pPr>
        <w:pStyle w:val="ListBullet"/>
      </w:pPr>
      <w:r>
        <w:t>Se registra DNI/RUC, razón social, dirección y contacto del adquirente; puede diferir del titular del vehículo.</w:t>
      </w:r>
    </w:p>
    <w:p>
      <w:pPr>
        <w:pStyle w:val="ListBullet"/>
      </w:pPr>
      <w:r>
        <w:t>Se calculan base, IGV y total según las reglas vigentes.</w:t>
      </w:r>
    </w:p>
    <w:p>
      <w:pPr>
        <w:pStyle w:val="ListBullet"/>
      </w:pPr>
      <w:r>
        <w:t>La integración técnica Nubefact e historial de intentos están presentes, pero la emisión productiva debe cerrarse posteriormente.</w:t>
      </w:r>
    </w:p>
    <w:p>
      <w:pPr>
        <w:pStyle w:val="Heading2"/>
      </w:pPr>
      <w:r>
        <w:t>4.5 Previsualización</w:t>
      </w:r>
    </w:p>
    <w:p>
      <w:pPr>
        <w:pStyle w:val="ListBullet"/>
      </w:pPr>
      <w:r>
        <w:t>El backend selecciona uno de cinco templates según el tipo/modalidad.</w:t>
      </w:r>
    </w:p>
    <w:p>
      <w:pPr>
        <w:pStyle w:val="ListBullet"/>
      </w:pPr>
      <w:r>
        <w:t>Si el certificado aún no tiene correlativo, reserva el siguiente número del rango exacto sede + modalidad.</w:t>
      </w:r>
    </w:p>
    <w:p>
      <w:pPr>
        <w:pStyle w:val="ListBullet"/>
      </w:pPr>
      <w:r>
        <w:t>Las previsualizaciones posteriores reutilizan el mismo número; no consumen números adicionales.</w:t>
      </w:r>
    </w:p>
    <w:p>
      <w:pPr>
        <w:pStyle w:val="ListBullet"/>
      </w:pPr>
      <w:r>
        <w:t>El documento mantiene marca de borrador y no tiene validez legal.</w:t>
      </w:r>
    </w:p>
    <w:p>
      <w:pPr>
        <w:pStyle w:val="Heading2"/>
      </w:pPr>
      <w:r>
        <w:t>4.6 Verificación y emisión</w:t>
      </w:r>
    </w:p>
    <w:p>
      <w:pPr>
        <w:pStyle w:val="ListBullet"/>
      </w:pPr>
      <w:r>
        <w:t>Se valida que el expediente técnico esté completo, que el pago esté cubierto y que la facturación cumpla el estado requerido.</w:t>
      </w:r>
    </w:p>
    <w:p>
      <w:pPr>
        <w:pStyle w:val="ListBullet"/>
      </w:pPr>
      <w:r>
        <w:t>La emisión reutiliza el correlativo ya reservado, registra usuario/fecha y bloquea cambios incompatibles con un documento emitido.</w:t>
      </w:r>
    </w:p>
    <w:p>
      <w:pPr>
        <w:pStyle w:val="ListBullet"/>
      </w:pPr>
      <w:r>
        <w:t>Si el rango está agotado, la emisión debe detenerse y Configuración debe mostrar una alerta para asignar uno nuevo.</w:t>
      </w:r>
    </w:p>
    <w:p>
      <w:pPr>
        <w:pStyle w:val="Heading1"/>
      </w:pPr>
      <w:r>
        <w:t>5. Tipos de certificado y datos específicos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Flujo</w:t>
            </w:r>
          </w:p>
        </w:tc>
        <w:tc>
          <w:tcPr>
            <w:tcW w:type="dxa" w:w="5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Datos particulares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Template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GLP anual</w:t>
            </w:r>
          </w:p>
        </w:tc>
        <w:tc>
          <w:tcPr>
            <w:tcW w:type="dxa" w:w="5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Taller/modalidad, vigencia, componentes GLP y verificaciones.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glp-anual.template.js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GLP inicial</w:t>
            </w:r>
          </w:p>
        </w:tc>
        <w:tc>
          <w:tcPr>
            <w:tcW w:type="dxa" w:w="5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Conversión inicial, componentes instalados y verificaciones.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glp-inicial.template.js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GNV anual</w:t>
            </w:r>
          </w:p>
        </w:tc>
        <w:tc>
          <w:tcPr>
            <w:tcW w:type="dxa" w:w="5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GNV, componentes y verificaciones; variante pesado según servicio.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gnv-anual.template.js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GNV inicial</w:t>
            </w:r>
          </w:p>
        </w:tc>
        <w:tc>
          <w:tcPr>
            <w:tcW w:type="dxa" w:w="5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Conversión inicial GNV y componentes.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gnv-inicial.template.js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Conformidad</w:t>
            </w:r>
          </w:p>
        </w:tc>
        <w:tc>
          <w:tcPr>
            <w:tcW w:type="dxa" w:w="5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conformidad y características finales del vehículo.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conformidad.template.js</w:t>
            </w:r>
          </w:p>
        </w:tc>
      </w:tr>
    </w:tbl>
    <w:p>
      <w:pPr>
        <w:pStyle w:val="Heading1"/>
      </w:pPr>
      <w:r>
        <w:t>6. Descuentos</w:t>
      </w:r>
    </w:p>
    <w:p>
      <w:pPr>
        <w:pStyle w:val="ListNumber"/>
        <w:numPr>
          <w:ilvl w:val="0"/>
          <w:numId w:val="11"/>
        </w:numPr>
      </w:pPr>
      <w:r>
        <w:t>Crear descuento: se registra tipo (CAMPAÑA, ALIANZA, CONVENIO o PROMOCIÓN), nombre y vigencia general. Para ALIANZA pueden registrarse empresa/RUC y ejecutivo.</w:t>
      </w:r>
    </w:p>
    <w:p>
      <w:pPr>
        <w:pStyle w:val="ListNumber"/>
        <w:numPr>
          <w:ilvl w:val="0"/>
          <w:numId w:val="11"/>
        </w:numPr>
      </w:pPr>
      <w:r>
        <w:t>Configurar alcance: se seleccionan sedes; para cada sede se muestran únicamente servicios con tarifa activa.</w:t>
      </w:r>
    </w:p>
    <w:p>
      <w:pPr>
        <w:pStyle w:val="ListNumber"/>
        <w:numPr>
          <w:ilvl w:val="0"/>
          <w:numId w:val="11"/>
        </w:numPr>
      </w:pPr>
      <w:r>
        <w:t>Definir beneficio: por servicio se elige FLAT (precio final), MONTO (resta soles) o PORCENTAJE.</w:t>
      </w:r>
    </w:p>
    <w:p>
      <w:pPr>
        <w:pStyle w:val="ListNumber"/>
        <w:numPr>
          <w:ilvl w:val="0"/>
          <w:numId w:val="11"/>
        </w:numPr>
      </w:pPr>
      <w:r>
        <w:t>Crear códigos: cada código autoriza el uso y puede limitarse por placa/documento, vigencia y cantidad máxima.</w:t>
      </w:r>
    </w:p>
    <w:p>
      <w:pPr>
        <w:pStyle w:val="ListNumber"/>
        <w:numPr>
          <w:ilvl w:val="0"/>
          <w:numId w:val="11"/>
        </w:numPr>
      </w:pPr>
      <w:r>
        <w:t>Consultar en Nuevo Certificado: el código no aplica hasta superar todas las reglas del backend.</w:t>
      </w:r>
    </w:p>
    <w:p>
      <w:pPr>
        <w:pStyle w:val="ListNumber"/>
        <w:numPr>
          <w:ilvl w:val="0"/>
          <w:numId w:val="11"/>
        </w:numPr>
      </w:pPr>
      <w:r>
        <w:t>Aplicar: se guarda la evidencia en fg_descuentocomprobante y se incrementa el uso de forma transaccional.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9994"/>
      </w:tblGrid>
      <w:tr>
        <w:tc>
          <w:tcPr>
            <w:tcW w:type="dxa" w:w="9994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Separación conceptual. </w:t>
            </w:r>
            <w:r>
              <w:t>El descuento define la campaña y sus reglas económicas. El código no define cuánto descuenta: solamente autoriza que una persona/placa use esas reglas.</w:t>
            </w:r>
          </w:p>
        </w:tc>
      </w:tr>
    </w:tbl>
    <w:p>
      <w:pPr>
        <w:spacing w:after="0"/>
      </w:pPr>
    </w:p>
    <w:p>
      <w:pPr>
        <w:pStyle w:val="Heading1"/>
      </w:pPr>
      <w:r>
        <w:t>7. Configuración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Pestaña</w:t>
            </w:r>
          </w:p>
        </w:tc>
        <w:tc>
          <w:tcPr>
            <w:tcW w:type="dxa" w:w="3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Qué administra</w:t>
            </w:r>
          </w:p>
        </w:tc>
        <w:tc>
          <w:tcPr>
            <w:tcW w:type="dxa" w:w="3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Impacto operativo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Sedes</w:t>
            </w:r>
          </w:p>
        </w:tc>
        <w:tc>
          <w:tcPr>
            <w:tcW w:type="dxa" w:w="3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Código, nombre, dirección, teléfono, empresa y estado.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Define el contexto de trabajo y relación empresarial.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3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Categorías, servicios y productos/SKU.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Servicios/tarifas alimentan Nuevo Certificado; SKU alimenta facturación.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Facturación</w:t>
            </w:r>
          </w:p>
        </w:tc>
        <w:tc>
          <w:tcPr>
            <w:tcW w:type="dxa" w:w="3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Series administrativas por sede.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Aún no reemplazan la reserva productiva compartida.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Correlativos</w:t>
            </w:r>
          </w:p>
        </w:tc>
        <w:tc>
          <w:tcPr>
            <w:tcW w:type="dxa" w:w="3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Rangos por sede + modalidad, actual, disponible y estado.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Asigna números de certificados en previsualización/emisión.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Empresas</w:t>
            </w:r>
          </w:p>
        </w:tc>
        <w:tc>
          <w:tcPr>
            <w:tcW w:type="dxa" w:w="3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Empresas FAREGAS y asignación de sedes.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Una sede debe conservar empresa activa; la relación histórica se mantiene.</w:t>
            </w:r>
          </w:p>
        </w:tc>
      </w:tr>
    </w:tbl>
    <w:p>
      <w:pPr>
        <w:pStyle w:val="Heading1"/>
      </w:pPr>
      <w:r>
        <w:t>8. Usuarios y auditoría</w:t>
      </w:r>
    </w:p>
    <w:p>
      <w:pPr>
        <w:pStyle w:val="ListBullet"/>
      </w:pPr>
      <w:r>
        <w:t>Usuario es el username (por ejemplo gibarra); perfil es el rol (por ejemplo SISTEMAS). No deben confundirse en Auditoría.</w:t>
      </w:r>
    </w:p>
    <w:p>
      <w:pPr>
        <w:pStyle w:val="ListBullet"/>
      </w:pPr>
      <w:r>
        <w:t>Auditoría se agrupa por módulos fáciles de entender: Inicio, Usuarios, Descuentos, Configuración y Accesos, además de Todo.</w:t>
      </w:r>
    </w:p>
    <w:p>
      <w:pPr>
        <w:pStyle w:val="ListBullet"/>
      </w:pPr>
      <w:r>
        <w:t>Las operaciones relevantes deben registrar usuario real, perfil, módulo, acción legible, referencia, sede y resultado.</w:t>
      </w:r>
    </w:p>
    <w:p>
      <w:pPr>
        <w:pStyle w:val="ListBullet"/>
      </w:pPr>
      <w:r>
        <w:t>Un registro SISTEMA sin perfil solo es aceptable para una migración/arranque técnico claramente etiquetado; no debe atribuir acciones humanas.</w:t>
      </w:r>
    </w:p>
    <w:p>
      <w:pPr>
        <w:pStyle w:val="Heading1"/>
      </w:pPr>
      <w:r>
        <w:t>9. Manejo de errores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Situación</w:t>
            </w:r>
          </w:p>
        </w:tc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Qué significa</w:t>
            </w:r>
          </w:p>
        </w:tc>
        <w:tc>
          <w:tcPr>
            <w:tcW w:type="dxa" w:w="3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400</w:t>
            </w:r>
          </w:p>
        </w:tc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o transición inválida.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Revisar campos, estado del paso y mensaje retornado.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401</w:t>
            </w:r>
          </w:p>
        </w:tc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Sesión inexistente o vencida.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Volver a iniciar sesión.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403</w:t>
            </w:r>
          </w:p>
        </w:tc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Usuario sin permiso/sede.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Revisar perfil y asignación.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404</w:t>
            </w:r>
          </w:p>
        </w:tc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Recurso no encontrado.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Confirmar id, placa o endpoint.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409</w:t>
            </w:r>
          </w:p>
        </w:tc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Conflicto de estado, duplicado, uso o rango.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 reintentar ciegamente; revisar regla indicada.</w:t>
            </w:r>
          </w:p>
        </w:tc>
      </w:tr>
      <w:tr>
        <w:trPr>
          <w:cantSplit/>
        </w:trPr>
        <w:tc>
          <w:tcPr>
            <w:tcW w:type="dxa" w:w="2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500</w:t>
            </w:r>
          </w:p>
        </w:tc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Fallo interno no esperado.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Consultar logs y auditoría; conservar id del borrador.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EADDRINUSE :3000</w:t>
            </w:r>
          </w:p>
        </w:tc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Ya existe un backend escuchando.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Usar el proceso existente o detenerlo antes de iniciar otro.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Documentación técnica controlada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347F"/>
        <w:sz w:val="15"/>
      </w:rPr>
      <w:t>FAREGAS  ·  Volumen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4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4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7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47F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B34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00" w:right="100"/>
    </w:pPr>
    <w:rPr>
      <w:rFonts w:ascii="Consolas" w:hAnsi="Consolas"/>
      <w:color w:val="243146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