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360" w:line="300" w:lineRule="auto"/>
        <w:jc w:val="center"/>
      </w:pPr>
      <w:r>
        <w:rPr>
          <w:rFonts w:ascii="Calibri" w:hAnsi="Calibri"/>
          <w:b/>
          <w:i w:val="0"/>
          <w:color w:val="F4A300"/>
          <w:sz w:val="21"/>
        </w:rPr>
        <w:t>DOCUMENTACIÓN TÉCNICA</w:t>
      </w:r>
    </w:p>
    <w:p>
      <w:pPr>
        <w:pStyle w:val="Title"/>
        <w:spacing w:before="0" w:after="160"/>
        <w:jc w:val="center"/>
      </w:pPr>
      <w:r>
        <w:rPr>
          <w:rFonts w:ascii="Calibri" w:hAnsi="Calibri"/>
          <w:b/>
          <w:color w:val="082B66"/>
          <w:sz w:val="60"/>
        </w:rPr>
        <w:t>Arquitectura de archivos</w:t>
      </w:r>
    </w:p>
    <w:p>
      <w:pPr>
        <w:spacing w:before="0" w:after="560" w:line="300" w:lineRule="auto"/>
        <w:jc w:val="center"/>
      </w:pPr>
      <w:r>
        <w:rPr>
          <w:rFonts w:ascii="Calibri" w:hAnsi="Calibri"/>
          <w:b/>
          <w:i w:val="0"/>
          <w:color w:val="0A3D91"/>
          <w:sz w:val="32"/>
        </w:rPr>
        <w:t>Frontend y backend del subsistema FAREGAS</w:t>
      </w:r>
    </w:p>
    <w:p>
      <w:pPr>
        <w:spacing w:before="0" w:after="1280" w:line="300" w:lineRule="auto"/>
        <w:jc w:val="center"/>
      </w:pPr>
      <w:r>
        <w:rPr>
          <w:rFonts w:ascii="Calibri" w:hAnsi="Calibri"/>
          <w:b w:val="0"/>
          <w:i/>
          <w:color w:val="5D6B7E"/>
          <w:sz w:val="22"/>
        </w:rPr>
        <w:t>Guía para ubicar cada responsabilidad, seguir el recorrido de los datos y modificar el sistema sin romper el flujo completo.</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2700"/>
        <w:gridCol w:w="6660"/>
      </w:tblGrid>
      <w:tr>
        <w:trPr>
          <w:tblHeader w:val="true"/>
        </w:trPr>
        <w:tc>
          <w:tcPr>
            <w:tcW w:type="dxa" w:w="2700"/>
            <w:tcMar>
              <w:top w:w="80" w:type="dxa"/>
              <w:start w:w="120" w:type="dxa"/>
              <w:bottom w:w="80" w:type="dxa"/>
              <w:end w:w="120" w:type="dxa"/>
            </w:tcMar>
            <w:vAlign w:val="center"/>
            <w:shd w:fill="082B66"/>
          </w:tcPr>
          <w:p>
            <w:pPr>
              <w:spacing w:after="0"/>
            </w:pPr>
            <w:r>
              <w:rPr>
                <w:rFonts w:ascii="Calibri" w:hAnsi="Calibri"/>
                <w:b/>
                <w:color w:val="FFFFFF"/>
                <w:sz w:val="16"/>
              </w:rPr>
              <w:t>ALCANCE</w:t>
            </w:r>
          </w:p>
        </w:tc>
        <w:tc>
          <w:tcPr>
            <w:tcW w:type="dxa" w:w="6660"/>
            <w:tcMar>
              <w:top w:w="80" w:type="dxa"/>
              <w:start w:w="120" w:type="dxa"/>
              <w:bottom w:w="80" w:type="dxa"/>
              <w:end w:w="120" w:type="dxa"/>
            </w:tcMar>
            <w:vAlign w:val="center"/>
            <w:shd w:fill="082B66"/>
          </w:tcPr>
          <w:p>
            <w:pPr>
              <w:spacing w:after="0"/>
            </w:pPr>
            <w:r>
              <w:rPr>
                <w:rFonts w:ascii="Calibri" w:hAnsi="Calibri"/>
                <w:b/>
                <w:color w:val="FFFFFF"/>
                <w:sz w:val="16"/>
              </w:rPr>
              <w:t>VALOR</w:t>
            </w:r>
          </w:p>
        </w:tc>
      </w:tr>
      <w:tr>
        <w:trPr>
          <w:cantSplit/>
        </w:trPr>
        <w:tc>
          <w:tcPr>
            <w:tcW w:type="dxa" w:w="2700"/>
          </w:tcPr>
          <w:p>
            <w:pPr>
              <w:spacing w:after="0" w:line="252" w:lineRule="auto"/>
            </w:pPr>
            <w:r>
              <w:rPr>
                <w:rFonts w:ascii="Calibri" w:hAnsi="Calibri"/>
                <w:color w:val="13233A"/>
                <w:sz w:val="19"/>
              </w:rPr>
              <w:t>Frontend inventariado</w:t>
            </w:r>
          </w:p>
        </w:tc>
        <w:tc>
          <w:tcPr>
            <w:tcW w:type="dxa" w:w="6660"/>
          </w:tcPr>
          <w:p>
            <w:pPr>
              <w:spacing w:after="0" w:line="252" w:lineRule="auto"/>
            </w:pPr>
            <w:r>
              <w:rPr>
                <w:rFonts w:ascii="Calibri" w:hAnsi="Calibri"/>
                <w:color w:val="13233A"/>
                <w:sz w:val="19"/>
              </w:rPr>
              <w:t>54 archivos dentro de src/modules/faregas</w:t>
            </w:r>
          </w:p>
        </w:tc>
      </w:tr>
      <w:tr>
        <w:trPr>
          <w:cantSplit/>
        </w:trPr>
        <w:tc>
          <w:tcPr>
            <w:tcW w:type="dxa" w:w="2700"/>
          </w:tcPr>
          <w:p>
            <w:pPr>
              <w:spacing w:after="0" w:line="252" w:lineRule="auto"/>
            </w:pPr>
            <w:r>
              <w:rPr>
                <w:rFonts w:ascii="Calibri" w:hAnsi="Calibri"/>
                <w:color w:val="13233A"/>
                <w:sz w:val="19"/>
              </w:rPr>
              <w:t>Backend inventariado</w:t>
            </w:r>
          </w:p>
        </w:tc>
        <w:tc>
          <w:tcPr>
            <w:tcW w:type="dxa" w:w="6660"/>
          </w:tcPr>
          <w:p>
            <w:pPr>
              <w:spacing w:after="0" w:line="252" w:lineRule="auto"/>
            </w:pPr>
            <w:r>
              <w:rPr>
                <w:rFonts w:ascii="Calibri" w:hAnsi="Calibri"/>
                <w:color w:val="13233A"/>
                <w:sz w:val="19"/>
              </w:rPr>
              <w:t>97 archivos dentro de modules/faregas</w:t>
            </w:r>
          </w:p>
        </w:tc>
      </w:tr>
      <w:tr>
        <w:trPr>
          <w:cantSplit/>
        </w:trPr>
        <w:tc>
          <w:tcPr>
            <w:tcW w:type="dxa" w:w="2700"/>
          </w:tcPr>
          <w:p>
            <w:pPr>
              <w:spacing w:after="0" w:line="252" w:lineRule="auto"/>
            </w:pPr>
            <w:r>
              <w:rPr>
                <w:rFonts w:ascii="Calibri" w:hAnsi="Calibri"/>
                <w:color w:val="13233A"/>
                <w:sz w:val="19"/>
              </w:rPr>
              <w:t>Fuente</w:t>
            </w:r>
          </w:p>
        </w:tc>
        <w:tc>
          <w:tcPr>
            <w:tcW w:type="dxa" w:w="6660"/>
          </w:tcPr>
          <w:p>
            <w:pPr>
              <w:spacing w:after="0" w:line="252" w:lineRule="auto"/>
            </w:pPr>
            <w:r>
              <w:rPr>
                <w:rFonts w:ascii="Calibri" w:hAnsi="Calibri"/>
                <w:color w:val="13233A"/>
                <w:sz w:val="19"/>
              </w:rPr>
              <w:t>Código real del proyecto al 28/08/2026</w:t>
            </w:r>
          </w:p>
        </w:tc>
      </w:tr>
      <w:tr>
        <w:trPr>
          <w:cantSplit/>
        </w:trPr>
        <w:tc>
          <w:tcPr>
            <w:tcW w:type="dxa" w:w="2700"/>
          </w:tcPr>
          <w:p>
            <w:pPr>
              <w:spacing w:after="0" w:line="252" w:lineRule="auto"/>
            </w:pPr>
            <w:r>
              <w:rPr>
                <w:rFonts w:ascii="Calibri" w:hAnsi="Calibri"/>
                <w:color w:val="13233A"/>
                <w:sz w:val="19"/>
              </w:rPr>
              <w:t>Documento</w:t>
            </w:r>
          </w:p>
        </w:tc>
        <w:tc>
          <w:tcPr>
            <w:tcW w:type="dxa" w:w="6660"/>
          </w:tcPr>
          <w:p>
            <w:pPr>
              <w:spacing w:after="0" w:line="252" w:lineRule="auto"/>
            </w:pPr>
            <w:r>
              <w:rPr>
                <w:rFonts w:ascii="Calibri" w:hAnsi="Calibri"/>
                <w:color w:val="13233A"/>
                <w:sz w:val="19"/>
              </w:rPr>
              <w:t>Volumen 05 de la documentación FAREGAS</w:t>
            </w:r>
          </w:p>
        </w:tc>
      </w:tr>
    </w:tbl>
    <w:p>
      <w:pPr>
        <w:spacing w:after="0"/>
      </w:pPr>
    </w:p>
    <w:p>
      <w:pPr>
        <w:spacing w:before="960" w:after="80" w:line="300" w:lineRule="auto"/>
        <w:jc w:val="center"/>
      </w:pPr>
      <w:r>
        <w:rPr>
          <w:rFonts w:ascii="Calibri" w:hAnsi="Calibri"/>
          <w:b/>
          <w:i w:val="0"/>
          <w:color w:val="082B66"/>
          <w:sz w:val="20"/>
        </w:rPr>
        <w:t>FAREGAS · Proyecto FARENET nuevo</w:t>
      </w:r>
    </w:p>
    <w:p>
      <w:pPr>
        <w:spacing w:before="0" w:after="0" w:line="300" w:lineRule="auto"/>
        <w:jc w:val="center"/>
      </w:pPr>
      <w:r>
        <w:rPr>
          <w:rFonts w:ascii="Calibri" w:hAnsi="Calibri"/>
          <w:b w:val="0"/>
          <w:i w:val="0"/>
          <w:color w:val="5D6B7E"/>
          <w:sz w:val="18"/>
        </w:rPr>
        <w:t>Generado el 28 de agosto de 2026</w:t>
      </w:r>
    </w:p>
    <w:p>
      <w:r>
        <w:br w:type="page"/>
      </w:r>
    </w:p>
    <w:p>
      <w:pPr>
        <w:pStyle w:val="Heading1"/>
      </w:pPr>
      <w:r>
        <w:t>Cómo usar este documento</w:t>
      </w:r>
    </w:p>
    <w:tbl>
      <w:tblPr>
        <w:tblW w:type="dxa" w:w="9360"/>
        <w:jc w:val="left"/>
        <w:tblLayout w:type="fixed"/>
        <w:tblLook w:firstColumn="1" w:firstRow="1" w:lastColumn="0" w:lastRow="0" w:noHBand="0" w:noVBand="1" w:val="04A0"/>
        <w:tblInd w:w="120" w:type="dxa"/>
        <w:tblBorders>
          <w:top w:val="single" w:sz="8" w:color="0A3D91"/>
          <w:left w:val="single" w:sz="8" w:color="0A3D91"/>
          <w:bottom w:val="single" w:sz="8" w:color="0A3D91"/>
          <w:right w:val="single" w:sz="8" w:color="0A3D91"/>
          <w:insideH w:val="single" w:sz="8" w:color="0A3D91"/>
          <w:insideV w:val="single" w:sz="8" w:color="0A3D91"/>
        </w:tblBorders>
      </w:tblPr>
      <w:tblGrid>
        <w:gridCol w:w="9360"/>
      </w:tblGrid>
      <w:tr>
        <w:tc>
          <w:tcPr>
            <w:tcW w:type="dxa" w:w="9360"/>
            <w:tcMar>
              <w:top w:w="80" w:type="dxa"/>
              <w:start w:w="120" w:type="dxa"/>
              <w:bottom w:w="80" w:type="dxa"/>
              <w:end w:w="120" w:type="dxa"/>
            </w:tcMar>
            <w:vAlign w:val="center"/>
            <w:shd w:fill="F3F7FC"/>
          </w:tcPr>
          <w:p>
            <w:pPr>
              <w:spacing w:after="60"/>
            </w:pPr>
            <w:r>
              <w:rPr>
                <w:rFonts w:ascii="Calibri" w:hAnsi="Calibri"/>
                <w:b/>
                <w:color w:val="0A3D91"/>
                <w:sz w:val="21"/>
              </w:rPr>
              <w:t>Regla de interpretación</w:t>
            </w:r>
          </w:p>
          <w:p>
            <w:pPr>
              <w:spacing w:after="0" w:line="288" w:lineRule="auto"/>
            </w:pPr>
            <w:r>
              <w:rPr>
                <w:rFonts w:ascii="Calibri" w:hAnsi="Calibri"/>
                <w:color w:val="13233A"/>
                <w:sz w:val="20"/>
              </w:rPr>
              <w:t>El texto adjunto por el usuario se utilizó como ejemplo visual. Los árboles, nombres y responsabilidades de esta guía provienen del código real actual. Si una descripción y el código difieren en el futuro, el código será la fuente de verdad y este documento deberá regenerarse.</w:t>
            </w:r>
          </w:p>
        </w:tc>
      </w:tr>
    </w:tbl>
    <w:p>
      <w:pPr>
        <w:spacing w:after="0"/>
      </w:pP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1100"/>
        <w:gridCol w:w="2700"/>
        <w:gridCol w:w="5560"/>
      </w:tblGrid>
      <w:tr>
        <w:trPr>
          <w:tblHeader w:val="true"/>
        </w:trPr>
        <w:tc>
          <w:tcPr>
            <w:tcW w:type="dxa" w:w="1100"/>
            <w:tcMar>
              <w:top w:w="80" w:type="dxa"/>
              <w:start w:w="120" w:type="dxa"/>
              <w:bottom w:w="80" w:type="dxa"/>
              <w:end w:w="120" w:type="dxa"/>
            </w:tcMar>
            <w:vAlign w:val="center"/>
            <w:shd w:fill="082B66"/>
          </w:tcPr>
          <w:p>
            <w:pPr>
              <w:spacing w:after="0"/>
            </w:pPr>
            <w:r>
              <w:rPr>
                <w:rFonts w:ascii="Calibri" w:hAnsi="Calibri"/>
                <w:b/>
                <w:color w:val="FFFFFF"/>
                <w:sz w:val="16"/>
              </w:rPr>
              <w:t>SECCIÓN</w:t>
            </w:r>
          </w:p>
        </w:tc>
        <w:tc>
          <w:tcPr>
            <w:tcW w:type="dxa" w:w="2700"/>
            <w:tcMar>
              <w:top w:w="80" w:type="dxa"/>
              <w:start w:w="120" w:type="dxa"/>
              <w:bottom w:w="80" w:type="dxa"/>
              <w:end w:w="120" w:type="dxa"/>
            </w:tcMar>
            <w:vAlign w:val="center"/>
            <w:shd w:fill="082B66"/>
          </w:tcPr>
          <w:p>
            <w:pPr>
              <w:spacing w:after="0"/>
            </w:pPr>
            <w:r>
              <w:rPr>
                <w:rFonts w:ascii="Calibri" w:hAnsi="Calibri"/>
                <w:b/>
                <w:color w:val="FFFFFF"/>
                <w:sz w:val="16"/>
              </w:rPr>
              <w:t>CONTENIDO</w:t>
            </w:r>
          </w:p>
        </w:tc>
        <w:tc>
          <w:tcPr>
            <w:tcW w:type="dxa" w:w="5560"/>
            <w:tcMar>
              <w:top w:w="80" w:type="dxa"/>
              <w:start w:w="120" w:type="dxa"/>
              <w:bottom w:w="80" w:type="dxa"/>
              <w:end w:w="120" w:type="dxa"/>
            </w:tcMar>
            <w:vAlign w:val="center"/>
            <w:shd w:fill="082B66"/>
          </w:tcPr>
          <w:p>
            <w:pPr>
              <w:spacing w:after="0"/>
            </w:pPr>
            <w:r>
              <w:rPr>
                <w:rFonts w:ascii="Calibri" w:hAnsi="Calibri"/>
                <w:b/>
                <w:color w:val="FFFFFF"/>
                <w:sz w:val="16"/>
              </w:rPr>
              <w:t>UTILIDAD</w:t>
            </w:r>
          </w:p>
        </w:tc>
      </w:tr>
      <w:tr>
        <w:trPr>
          <w:cantSplit/>
        </w:trPr>
        <w:tc>
          <w:tcPr>
            <w:tcW w:type="dxa" w:w="1100"/>
          </w:tcPr>
          <w:p>
            <w:pPr>
              <w:spacing w:after="0" w:line="252" w:lineRule="auto"/>
            </w:pPr>
            <w:r>
              <w:rPr>
                <w:rFonts w:ascii="Calibri" w:hAnsi="Calibri"/>
                <w:color w:val="13233A"/>
                <w:sz w:val="18"/>
              </w:rPr>
              <w:t>1</w:t>
            </w:r>
          </w:p>
        </w:tc>
        <w:tc>
          <w:tcPr>
            <w:tcW w:type="dxa" w:w="2700"/>
          </w:tcPr>
          <w:p>
            <w:pPr>
              <w:spacing w:after="0" w:line="252" w:lineRule="auto"/>
            </w:pPr>
            <w:r>
              <w:rPr>
                <w:rFonts w:ascii="Calibri" w:hAnsi="Calibri"/>
                <w:color w:val="13233A"/>
                <w:sz w:val="18"/>
              </w:rPr>
              <w:t>Mapa general</w:t>
            </w:r>
          </w:p>
        </w:tc>
        <w:tc>
          <w:tcPr>
            <w:tcW w:type="dxa" w:w="5560"/>
          </w:tcPr>
          <w:p>
            <w:pPr>
              <w:spacing w:after="0" w:line="252" w:lineRule="auto"/>
            </w:pPr>
            <w:r>
              <w:rPr>
                <w:rFonts w:ascii="Calibri" w:hAnsi="Calibri"/>
                <w:color w:val="13233A"/>
                <w:sz w:val="18"/>
              </w:rPr>
              <w:t>Comprender las capas y el recorrido de una petición.</w:t>
            </w:r>
          </w:p>
        </w:tc>
      </w:tr>
      <w:tr>
        <w:trPr>
          <w:cantSplit/>
        </w:trPr>
        <w:tc>
          <w:tcPr>
            <w:tcW w:type="dxa" w:w="1100"/>
          </w:tcPr>
          <w:p>
            <w:pPr>
              <w:spacing w:after="0" w:line="252" w:lineRule="auto"/>
            </w:pPr>
            <w:r>
              <w:rPr>
                <w:rFonts w:ascii="Calibri" w:hAnsi="Calibri"/>
                <w:color w:val="13233A"/>
                <w:sz w:val="18"/>
              </w:rPr>
              <w:t>2</w:t>
            </w:r>
          </w:p>
        </w:tc>
        <w:tc>
          <w:tcPr>
            <w:tcW w:type="dxa" w:w="2700"/>
          </w:tcPr>
          <w:p>
            <w:pPr>
              <w:spacing w:after="0" w:line="252" w:lineRule="auto"/>
            </w:pPr>
            <w:r>
              <w:rPr>
                <w:rFonts w:ascii="Calibri" w:hAnsi="Calibri"/>
                <w:color w:val="13233A"/>
                <w:sz w:val="18"/>
              </w:rPr>
              <w:t>Frontend</w:t>
            </w:r>
          </w:p>
        </w:tc>
        <w:tc>
          <w:tcPr>
            <w:tcW w:type="dxa" w:w="5560"/>
          </w:tcPr>
          <w:p>
            <w:pPr>
              <w:spacing w:after="0" w:line="252" w:lineRule="auto"/>
            </w:pPr>
            <w:r>
              <w:rPr>
                <w:rFonts w:ascii="Calibri" w:hAnsi="Calibri"/>
                <w:color w:val="13233A"/>
                <w:sz w:val="18"/>
              </w:rPr>
              <w:t>Ubicar pantallas, componentes, servicios, tipos y utilidades.</w:t>
            </w:r>
          </w:p>
        </w:tc>
      </w:tr>
      <w:tr>
        <w:trPr>
          <w:cantSplit/>
        </w:trPr>
        <w:tc>
          <w:tcPr>
            <w:tcW w:type="dxa" w:w="1100"/>
          </w:tcPr>
          <w:p>
            <w:pPr>
              <w:spacing w:after="0" w:line="252" w:lineRule="auto"/>
            </w:pPr>
            <w:r>
              <w:rPr>
                <w:rFonts w:ascii="Calibri" w:hAnsi="Calibri"/>
                <w:color w:val="13233A"/>
                <w:sz w:val="18"/>
              </w:rPr>
              <w:t>3</w:t>
            </w:r>
          </w:p>
        </w:tc>
        <w:tc>
          <w:tcPr>
            <w:tcW w:type="dxa" w:w="2700"/>
          </w:tcPr>
          <w:p>
            <w:pPr>
              <w:spacing w:after="0" w:line="252" w:lineRule="auto"/>
            </w:pPr>
            <w:r>
              <w:rPr>
                <w:rFonts w:ascii="Calibri" w:hAnsi="Calibri"/>
                <w:color w:val="13233A"/>
                <w:sz w:val="18"/>
              </w:rPr>
              <w:t>Backend</w:t>
            </w:r>
          </w:p>
        </w:tc>
        <w:tc>
          <w:tcPr>
            <w:tcW w:type="dxa" w:w="5560"/>
          </w:tcPr>
          <w:p>
            <w:pPr>
              <w:spacing w:after="0" w:line="252" w:lineRule="auto"/>
            </w:pPr>
            <w:r>
              <w:rPr>
                <w:rFonts w:ascii="Calibri" w:hAnsi="Calibri"/>
                <w:color w:val="13233A"/>
                <w:sz w:val="18"/>
              </w:rPr>
              <w:t>Ubicar rutas, controladores, servicios, integraciones, plantillas y migraciones.</w:t>
            </w:r>
          </w:p>
        </w:tc>
      </w:tr>
      <w:tr>
        <w:trPr>
          <w:cantSplit/>
        </w:trPr>
        <w:tc>
          <w:tcPr>
            <w:tcW w:type="dxa" w:w="1100"/>
          </w:tcPr>
          <w:p>
            <w:pPr>
              <w:spacing w:after="0" w:line="252" w:lineRule="auto"/>
            </w:pPr>
            <w:r>
              <w:rPr>
                <w:rFonts w:ascii="Calibri" w:hAnsi="Calibri"/>
                <w:color w:val="13233A"/>
                <w:sz w:val="18"/>
              </w:rPr>
              <w:t>4</w:t>
            </w:r>
          </w:p>
        </w:tc>
        <w:tc>
          <w:tcPr>
            <w:tcW w:type="dxa" w:w="2700"/>
          </w:tcPr>
          <w:p>
            <w:pPr>
              <w:spacing w:after="0" w:line="252" w:lineRule="auto"/>
            </w:pPr>
            <w:r>
              <w:rPr>
                <w:rFonts w:ascii="Calibri" w:hAnsi="Calibri"/>
                <w:color w:val="13233A"/>
                <w:sz w:val="18"/>
              </w:rPr>
              <w:t>Recorridos funcionales</w:t>
            </w:r>
          </w:p>
        </w:tc>
        <w:tc>
          <w:tcPr>
            <w:tcW w:type="dxa" w:w="5560"/>
          </w:tcPr>
          <w:p>
            <w:pPr>
              <w:spacing w:after="0" w:line="252" w:lineRule="auto"/>
            </w:pPr>
            <w:r>
              <w:rPr>
                <w:rFonts w:ascii="Calibri" w:hAnsi="Calibri"/>
                <w:color w:val="13233A"/>
                <w:sz w:val="18"/>
              </w:rPr>
              <w:t>Seguir casos completos sin saltos entre capas.</w:t>
            </w:r>
          </w:p>
        </w:tc>
      </w:tr>
      <w:tr>
        <w:trPr>
          <w:cantSplit/>
        </w:trPr>
        <w:tc>
          <w:tcPr>
            <w:tcW w:type="dxa" w:w="1100"/>
          </w:tcPr>
          <w:p>
            <w:pPr>
              <w:spacing w:after="0" w:line="252" w:lineRule="auto"/>
            </w:pPr>
            <w:r>
              <w:rPr>
                <w:rFonts w:ascii="Calibri" w:hAnsi="Calibri"/>
                <w:color w:val="13233A"/>
                <w:sz w:val="18"/>
              </w:rPr>
              <w:t>5</w:t>
            </w:r>
          </w:p>
        </w:tc>
        <w:tc>
          <w:tcPr>
            <w:tcW w:type="dxa" w:w="2700"/>
          </w:tcPr>
          <w:p>
            <w:pPr>
              <w:spacing w:after="0" w:line="252" w:lineRule="auto"/>
            </w:pPr>
            <w:r>
              <w:rPr>
                <w:rFonts w:ascii="Calibri" w:hAnsi="Calibri"/>
                <w:color w:val="13233A"/>
                <w:sz w:val="18"/>
              </w:rPr>
              <w:t>Guía de cambio</w:t>
            </w:r>
          </w:p>
        </w:tc>
        <w:tc>
          <w:tcPr>
            <w:tcW w:type="dxa" w:w="5560"/>
          </w:tcPr>
          <w:p>
            <w:pPr>
              <w:spacing w:after="0" w:line="252" w:lineRule="auto"/>
            </w:pPr>
            <w:r>
              <w:rPr>
                <w:rFonts w:ascii="Calibri" w:hAnsi="Calibri"/>
                <w:color w:val="13233A"/>
                <w:sz w:val="18"/>
              </w:rPr>
              <w:t>Saber qué archivo tocar según el objetivo y qué verificar.</w:t>
            </w:r>
          </w:p>
        </w:tc>
      </w:tr>
      <w:tr>
        <w:trPr>
          <w:cantSplit/>
        </w:trPr>
        <w:tc>
          <w:tcPr>
            <w:tcW w:type="dxa" w:w="1100"/>
          </w:tcPr>
          <w:p>
            <w:pPr>
              <w:spacing w:after="0" w:line="252" w:lineRule="auto"/>
            </w:pPr>
            <w:r>
              <w:rPr>
                <w:rFonts w:ascii="Calibri" w:hAnsi="Calibri"/>
                <w:color w:val="13233A"/>
                <w:sz w:val="18"/>
              </w:rPr>
              <w:t>6</w:t>
            </w:r>
          </w:p>
        </w:tc>
        <w:tc>
          <w:tcPr>
            <w:tcW w:type="dxa" w:w="2700"/>
          </w:tcPr>
          <w:p>
            <w:pPr>
              <w:spacing w:after="0" w:line="252" w:lineRule="auto"/>
            </w:pPr>
            <w:r>
              <w:rPr>
                <w:rFonts w:ascii="Calibri" w:hAnsi="Calibri"/>
                <w:color w:val="13233A"/>
                <w:sz w:val="18"/>
              </w:rPr>
              <w:t>Límites y dependencias</w:t>
            </w:r>
          </w:p>
        </w:tc>
        <w:tc>
          <w:tcPr>
            <w:tcW w:type="dxa" w:w="5560"/>
          </w:tcPr>
          <w:p>
            <w:pPr>
              <w:spacing w:after="0" w:line="252" w:lineRule="auto"/>
            </w:pPr>
            <w:r>
              <w:rPr>
                <w:rFonts w:ascii="Calibri" w:hAnsi="Calibri"/>
                <w:color w:val="13233A"/>
                <w:sz w:val="18"/>
              </w:rPr>
              <w:t>Distinguir FAREGAS, FARENET compartido y proveedores externos.</w:t>
            </w:r>
          </w:p>
        </w:tc>
      </w:tr>
      <w:tr>
        <w:trPr>
          <w:cantSplit/>
        </w:trPr>
        <w:tc>
          <w:tcPr>
            <w:tcW w:type="dxa" w:w="1100"/>
          </w:tcPr>
          <w:p>
            <w:pPr>
              <w:spacing w:after="0" w:line="252" w:lineRule="auto"/>
            </w:pPr>
            <w:r>
              <w:rPr>
                <w:rFonts w:ascii="Calibri" w:hAnsi="Calibri"/>
                <w:color w:val="13233A"/>
                <w:sz w:val="18"/>
              </w:rPr>
              <w:t>Anexo</w:t>
            </w:r>
          </w:p>
        </w:tc>
        <w:tc>
          <w:tcPr>
            <w:tcW w:type="dxa" w:w="2700"/>
          </w:tcPr>
          <w:p>
            <w:pPr>
              <w:spacing w:after="0" w:line="252" w:lineRule="auto"/>
            </w:pPr>
            <w:r>
              <w:rPr>
                <w:rFonts w:ascii="Calibri" w:hAnsi="Calibri"/>
                <w:color w:val="13233A"/>
                <w:sz w:val="18"/>
              </w:rPr>
              <w:t>Inventario exhaustivo</w:t>
            </w:r>
          </w:p>
        </w:tc>
        <w:tc>
          <w:tcPr>
            <w:tcW w:type="dxa" w:w="5560"/>
          </w:tcPr>
          <w:p>
            <w:pPr>
              <w:spacing w:after="0" w:line="252" w:lineRule="auto"/>
            </w:pPr>
            <w:r>
              <w:rPr>
                <w:rFonts w:ascii="Calibri" w:hAnsi="Calibri"/>
                <w:color w:val="13233A"/>
                <w:sz w:val="18"/>
              </w:rPr>
              <w:t>Consultar cada archivo y su responsabilidad.</w:t>
            </w:r>
          </w:p>
        </w:tc>
      </w:tr>
    </w:tbl>
    <w:p>
      <w:pPr>
        <w:spacing w:after="0"/>
      </w:pPr>
    </w:p>
    <w:p>
      <w:r>
        <w:br w:type="page"/>
      </w:r>
    </w:p>
    <w:p>
      <w:pPr>
        <w:pStyle w:val="Heading1"/>
      </w:pPr>
      <w:r>
        <w:t>1. Mapa general de la arquitectura</w:t>
      </w:r>
    </w:p>
    <w:p>
      <w:pPr>
        <w:spacing w:before="0" w:after="120" w:line="300" w:lineRule="auto"/>
      </w:pPr>
      <w:r>
        <w:rPr>
          <w:rFonts w:ascii="Calibri" w:hAnsi="Calibri"/>
          <w:b w:val="0"/>
          <w:i w:val="0"/>
          <w:color w:val="13233A"/>
          <w:sz w:val="22"/>
        </w:rPr>
        <w:t>FAREGAS está encapsulado por dominio en ambos proyectos. El frontend concentra sus vistas y clientes API en src/modules/faregas; el backend concentra sus endpoints y reglas en modules/faregas. Dos archivos externos los conectan con las aplicaciones principales: src/App.tsx y app.js.</w:t>
      </w:r>
    </w:p>
    <w:p>
      <w:pPr>
        <w:pStyle w:val="Heading2"/>
      </w:pPr>
      <w:r>
        <w:t>1.1 Recorrido de una operación</w:t>
      </w:r>
    </w:p>
    <w:tbl>
      <w:tblPr>
        <w:tblW w:type="dxa" w:w="9360"/>
        <w:jc w:val="left"/>
        <w:tblLayout w:type="fixed"/>
        <w:tblLook w:firstColumn="1" w:firstRow="1" w:lastColumn="0" w:lastRow="0" w:noHBand="0" w:noVBand="1" w:val="04A0"/>
        <w:tblInd w:w="120" w:type="dxa"/>
        <w:tblBorders>
          <w:top w:val="single" w:sz="5" w:color="B9C7D8"/>
          <w:left w:val="single" w:sz="5" w:color="B9C7D8"/>
          <w:bottom w:val="single" w:sz="5" w:color="B9C7D8"/>
          <w:right w:val="single" w:sz="5" w:color="B9C7D8"/>
          <w:insideH w:val="single" w:sz="5" w:color="B9C7D8"/>
          <w:insideV w:val="single" w:sz="5" w:color="B9C7D8"/>
        </w:tblBorders>
      </w:tblPr>
      <w:tblGrid>
        <w:gridCol w:w="9360"/>
      </w:tblGrid>
      <w:tr>
        <w:tc>
          <w:tcPr>
            <w:tcW w:type="dxa" w:w="9360"/>
            <w:tcMar>
              <w:top w:w="80" w:type="dxa"/>
              <w:start w:w="120" w:type="dxa"/>
              <w:bottom w:w="80" w:type="dxa"/>
              <w:end w:w="120" w:type="dxa"/>
            </w:tcMar>
            <w:vAlign w:val="center"/>
            <w:shd w:fill="F6F8FB"/>
          </w:tcPr>
          <w:p>
            <w:pPr>
              <w:spacing w:after="0" w:line="240" w:lineRule="auto"/>
            </w:pPr>
            <w:r>
              <w:rPr>
                <w:rFonts w:ascii="Consolas" w:hAnsi="Consolas"/>
                <w:color w:val="26364A"/>
                <w:sz w:val="17"/>
              </w:rPr>
              <w:t>USUARIO EN EL NAVEGADOR</w:t>
            </w:r>
            <w:r>
              <w:br/>
            </w:r>
            <w:r>
              <w:rPr>
                <w:rFonts w:ascii="Consolas" w:hAnsi="Consolas"/>
                <w:color w:val="26364A"/>
                <w:sz w:val="17"/>
              </w:rPr>
              <w:t xml:space="preserve">        │</w:t>
            </w:r>
            <w:r>
              <w:br/>
            </w:r>
            <w:r>
              <w:rPr>
                <w:rFonts w:ascii="Consolas" w:hAnsi="Consolas"/>
                <w:color w:val="26364A"/>
                <w:sz w:val="17"/>
              </w:rPr>
              <w:t xml:space="preserve">        ▼</w:t>
            </w:r>
            <w:r>
              <w:br/>
            </w:r>
            <w:r>
              <w:rPr>
                <w:rFonts w:ascii="Consolas" w:hAnsi="Consolas"/>
                <w:color w:val="26364A"/>
                <w:sz w:val="17"/>
              </w:rPr>
              <w:t>App.tsx  →  /faregas/*  →  MainLayout.tsx  →  Vista / componente</w:t>
            </w:r>
            <w:r>
              <w:br/>
            </w:r>
            <w:r>
              <w:rPr>
                <w:rFonts w:ascii="Consolas" w:hAnsi="Consolas"/>
                <w:color w:val="26364A"/>
                <w:sz w:val="17"/>
              </w:rPr>
              <w:t xml:space="preserve">        │                                      │</w:t>
            </w:r>
            <w:r>
              <w:br/>
            </w:r>
            <w:r>
              <w:rPr>
                <w:rFonts w:ascii="Consolas" w:hAnsi="Consolas"/>
                <w:color w:val="26364A"/>
                <w:sz w:val="17"/>
              </w:rPr>
              <w:t xml:space="preserve">        │                                      ▼</w:t>
            </w:r>
            <w:r>
              <w:br/>
            </w:r>
            <w:r>
              <w:rPr>
                <w:rFonts w:ascii="Consolas" w:hAnsi="Consolas"/>
                <w:color w:val="26364A"/>
                <w:sz w:val="17"/>
              </w:rPr>
              <w:t xml:space="preserve">        │                              services/faregas-*.api.ts</w:t>
            </w:r>
            <w:r>
              <w:br/>
            </w:r>
            <w:r>
              <w:rPr>
                <w:rFonts w:ascii="Consolas" w:hAnsi="Consolas"/>
                <w:color w:val="26364A"/>
                <w:sz w:val="17"/>
              </w:rPr>
              <w:t xml:space="preserve">        │                                      │</w:t>
            </w:r>
            <w:r>
              <w:br/>
            </w:r>
            <w:r>
              <w:rPr>
                <w:rFonts w:ascii="Consolas" w:hAnsi="Consolas"/>
                <w:color w:val="26364A"/>
                <w:sz w:val="17"/>
              </w:rPr>
              <w:t xml:space="preserve">        │                                      ▼</w:t>
            </w:r>
            <w:r>
              <w:br/>
            </w:r>
            <w:r>
              <w:rPr>
                <w:rFonts w:ascii="Consolas" w:hAnsi="Consolas"/>
                <w:color w:val="26364A"/>
                <w:sz w:val="17"/>
              </w:rPr>
              <w:t xml:space="preserve">        │                           faregas-http-client.ts + JWT</w:t>
            </w:r>
            <w:r>
              <w:br/>
            </w:r>
            <w:r>
              <w:rPr>
                <w:rFonts w:ascii="Consolas" w:hAnsi="Consolas"/>
                <w:color w:val="26364A"/>
                <w:sz w:val="17"/>
              </w:rPr>
              <w:t xml:space="preserve">        │                                      │</w:t>
            </w:r>
            <w:r>
              <w:br/>
            </w:r>
            <w:r>
              <w:rPr>
                <w:rFonts w:ascii="Consolas" w:hAnsi="Consolas"/>
                <w:color w:val="26364A"/>
                <w:sz w:val="17"/>
              </w:rPr>
              <w:t xml:space="preserve">        ▼                                      ▼</w:t>
            </w:r>
            <w:r>
              <w:br/>
            </w:r>
            <w:r>
              <w:rPr>
                <w:rFonts w:ascii="Consolas" w:hAnsi="Consolas"/>
                <w:color w:val="26364A"/>
                <w:sz w:val="17"/>
              </w:rPr>
              <w:t>Backend app.js  →  /api/faregas  →  routes/*.routes.js</w:t>
            </w:r>
            <w:r>
              <w:br/>
            </w:r>
            <w:r>
              <w:rPr>
                <w:rFonts w:ascii="Consolas" w:hAnsi="Consolas"/>
                <w:color w:val="26364A"/>
                <w:sz w:val="17"/>
              </w:rPr>
              <w:t xml:space="preserve">                                          │</w:t>
            </w:r>
            <w:r>
              <w:br/>
            </w:r>
            <w:r>
              <w:rPr>
                <w:rFonts w:ascii="Consolas" w:hAnsi="Consolas"/>
                <w:color w:val="26364A"/>
                <w:sz w:val="17"/>
              </w:rPr>
              <w:t xml:space="preserve">                              auth / auditoría middleware</w:t>
            </w:r>
            <w:r>
              <w:br/>
            </w:r>
            <w:r>
              <w:rPr>
                <w:rFonts w:ascii="Consolas" w:hAnsi="Consolas"/>
                <w:color w:val="26364A"/>
                <w:sz w:val="17"/>
              </w:rPr>
              <w:t xml:space="preserve">                                          │</w:t>
            </w:r>
            <w:r>
              <w:br/>
            </w:r>
            <w:r>
              <w:rPr>
                <w:rFonts w:ascii="Consolas" w:hAnsi="Consolas"/>
                <w:color w:val="26364A"/>
                <w:sz w:val="17"/>
              </w:rPr>
              <w:t xml:space="preserve">                                          ▼</w:t>
            </w:r>
            <w:r>
              <w:br/>
            </w:r>
            <w:r>
              <w:rPr>
                <w:rFonts w:ascii="Consolas" w:hAnsi="Consolas"/>
                <w:color w:val="26364A"/>
                <w:sz w:val="17"/>
              </w:rPr>
              <w:t xml:space="preserve">                                  controllers/*.js</w:t>
            </w:r>
            <w:r>
              <w:br/>
            </w:r>
            <w:r>
              <w:rPr>
                <w:rFonts w:ascii="Consolas" w:hAnsi="Consolas"/>
                <w:color w:val="26364A"/>
                <w:sz w:val="17"/>
              </w:rPr>
              <w:t xml:space="preserve">                                          │</w:t>
            </w:r>
            <w:r>
              <w:br/>
            </w:r>
            <w:r>
              <w:rPr>
                <w:rFonts w:ascii="Consolas" w:hAnsi="Consolas"/>
                <w:color w:val="26364A"/>
                <w:sz w:val="17"/>
              </w:rPr>
              <w:t xml:space="preserve">                                          ▼</w:t>
            </w:r>
            <w:r>
              <w:br/>
            </w:r>
            <w:r>
              <w:rPr>
                <w:rFonts w:ascii="Consolas" w:hAnsi="Consolas"/>
                <w:color w:val="26364A"/>
                <w:sz w:val="17"/>
              </w:rPr>
              <w:t xml:space="preserve">                            services/*.service.js + *.rules.js</w:t>
            </w:r>
            <w:r>
              <w:br/>
            </w:r>
            <w:r>
              <w:rPr>
                <w:rFonts w:ascii="Consolas" w:hAnsi="Consolas"/>
                <w:color w:val="26364A"/>
                <w:sz w:val="17"/>
              </w:rPr>
              <w:t xml:space="preserve">                               │          │              │</w:t>
            </w:r>
            <w:r>
              <w:br/>
            </w:r>
            <w:r>
              <w:rPr>
                <w:rFonts w:ascii="Consolas" w:hAnsi="Consolas"/>
                <w:color w:val="26364A"/>
                <w:sz w:val="17"/>
              </w:rPr>
              <w:t xml:space="preserve">                               ▼          ▼              ▼</w:t>
            </w:r>
            <w:r>
              <w:br/>
            </w:r>
            <w:r>
              <w:rPr>
                <w:rFonts w:ascii="Consolas" w:hAnsi="Consolas"/>
                <w:color w:val="26364A"/>
                <w:sz w:val="17"/>
              </w:rPr>
              <w:t xml:space="preserve">                         PostgreSQL   integrations/   templates/</w:t>
            </w:r>
            <w:r>
              <w:br/>
            </w:r>
            <w:r>
              <w:rPr>
                <w:rFonts w:ascii="Consolas" w:hAnsi="Consolas"/>
                <w:color w:val="26364A"/>
                <w:sz w:val="17"/>
              </w:rPr>
              <w:t xml:space="preserve">                                      FARENET/Nubefact certificados</w:t>
            </w:r>
          </w:p>
        </w:tc>
      </w:tr>
    </w:tbl>
    <w:p>
      <w:pPr>
        <w:spacing w:after="0"/>
      </w:pPr>
    </w:p>
    <w:p>
      <w:pPr>
        <w:pStyle w:val="Heading2"/>
      </w:pPr>
      <w:r>
        <w:t>1.2 Responsabilidad de cada capa</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1900"/>
        <w:gridCol w:w="3730"/>
        <w:gridCol w:w="3730"/>
      </w:tblGrid>
      <w:tr>
        <w:trPr>
          <w:tblHeader w:val="true"/>
        </w:trPr>
        <w:tc>
          <w:tcPr>
            <w:tcW w:type="dxa" w:w="1900"/>
            <w:tcMar>
              <w:top w:w="80" w:type="dxa"/>
              <w:start w:w="120" w:type="dxa"/>
              <w:bottom w:w="80" w:type="dxa"/>
              <w:end w:w="120" w:type="dxa"/>
            </w:tcMar>
            <w:vAlign w:val="center"/>
            <w:shd w:fill="082B66"/>
          </w:tcPr>
          <w:p>
            <w:pPr>
              <w:spacing w:after="0"/>
            </w:pPr>
            <w:r>
              <w:rPr>
                <w:rFonts w:ascii="Calibri" w:hAnsi="Calibri"/>
                <w:b/>
                <w:color w:val="FFFFFF"/>
                <w:sz w:val="16"/>
              </w:rPr>
              <w:t>CAPA</w:t>
            </w:r>
          </w:p>
        </w:tc>
        <w:tc>
          <w:tcPr>
            <w:tcW w:type="dxa" w:w="3730"/>
            <w:tcMar>
              <w:top w:w="80" w:type="dxa"/>
              <w:start w:w="120" w:type="dxa"/>
              <w:bottom w:w="80" w:type="dxa"/>
              <w:end w:w="120" w:type="dxa"/>
            </w:tcMar>
            <w:vAlign w:val="center"/>
            <w:shd w:fill="082B66"/>
          </w:tcPr>
          <w:p>
            <w:pPr>
              <w:spacing w:after="0"/>
            </w:pPr>
            <w:r>
              <w:rPr>
                <w:rFonts w:ascii="Calibri" w:hAnsi="Calibri"/>
                <w:b/>
                <w:color w:val="FFFFFF"/>
                <w:sz w:val="16"/>
              </w:rPr>
              <w:t>RESPONSABILIDAD</w:t>
            </w:r>
          </w:p>
        </w:tc>
        <w:tc>
          <w:tcPr>
            <w:tcW w:type="dxa" w:w="3730"/>
            <w:tcMar>
              <w:top w:w="80" w:type="dxa"/>
              <w:start w:w="120" w:type="dxa"/>
              <w:bottom w:w="80" w:type="dxa"/>
              <w:end w:w="120" w:type="dxa"/>
            </w:tcMar>
            <w:vAlign w:val="center"/>
            <w:shd w:fill="082B66"/>
          </w:tcPr>
          <w:p>
            <w:pPr>
              <w:spacing w:after="0"/>
            </w:pPr>
            <w:r>
              <w:rPr>
                <w:rFonts w:ascii="Calibri" w:hAnsi="Calibri"/>
                <w:b/>
                <w:color w:val="FFFFFF"/>
                <w:sz w:val="16"/>
              </w:rPr>
              <w:t>LÍMITE</w:t>
            </w:r>
          </w:p>
        </w:tc>
      </w:tr>
      <w:tr>
        <w:trPr>
          <w:cantSplit/>
        </w:trPr>
        <w:tc>
          <w:tcPr>
            <w:tcW w:type="dxa" w:w="1900"/>
          </w:tcPr>
          <w:p>
            <w:pPr>
              <w:spacing w:after="0" w:line="252" w:lineRule="auto"/>
            </w:pPr>
            <w:r>
              <w:rPr>
                <w:rFonts w:ascii="Calibri" w:hAnsi="Calibri"/>
                <w:color w:val="13233A"/>
                <w:sz w:val="17"/>
              </w:rPr>
              <w:t>Vista / componente</w:t>
            </w:r>
          </w:p>
        </w:tc>
        <w:tc>
          <w:tcPr>
            <w:tcW w:type="dxa" w:w="3730"/>
          </w:tcPr>
          <w:p>
            <w:pPr>
              <w:spacing w:after="0" w:line="252" w:lineRule="auto"/>
            </w:pPr>
            <w:r>
              <w:rPr>
                <w:rFonts w:ascii="Calibri" w:hAnsi="Calibri"/>
                <w:color w:val="13233A"/>
                <w:sz w:val="17"/>
              </w:rPr>
              <w:t>Presenta datos, captura acciones y administra estado visual.</w:t>
            </w:r>
          </w:p>
        </w:tc>
        <w:tc>
          <w:tcPr>
            <w:tcW w:type="dxa" w:w="3730"/>
          </w:tcPr>
          <w:p>
            <w:pPr>
              <w:spacing w:after="0" w:line="252" w:lineRule="auto"/>
            </w:pPr>
            <w:r>
              <w:rPr>
                <w:rFonts w:ascii="Calibri" w:hAnsi="Calibri"/>
                <w:color w:val="13233A"/>
                <w:sz w:val="17"/>
              </w:rPr>
              <w:t>No debe contener SQL ni credenciales.</w:t>
            </w:r>
          </w:p>
        </w:tc>
      </w:tr>
      <w:tr>
        <w:trPr>
          <w:cantSplit/>
        </w:trPr>
        <w:tc>
          <w:tcPr>
            <w:tcW w:type="dxa" w:w="1900"/>
          </w:tcPr>
          <w:p>
            <w:pPr>
              <w:spacing w:after="0" w:line="252" w:lineRule="auto"/>
            </w:pPr>
            <w:r>
              <w:rPr>
                <w:rFonts w:ascii="Calibri" w:hAnsi="Calibri"/>
                <w:color w:val="13233A"/>
                <w:sz w:val="17"/>
              </w:rPr>
              <w:t>Cliente API</w:t>
            </w:r>
          </w:p>
        </w:tc>
        <w:tc>
          <w:tcPr>
            <w:tcW w:type="dxa" w:w="3730"/>
          </w:tcPr>
          <w:p>
            <w:pPr>
              <w:spacing w:after="0" w:line="252" w:lineRule="auto"/>
            </w:pPr>
            <w:r>
              <w:rPr>
                <w:rFonts w:ascii="Calibri" w:hAnsi="Calibri"/>
                <w:color w:val="13233A"/>
                <w:sz w:val="17"/>
              </w:rPr>
              <w:t>Define la llamada HTTP y su contrato TypeScript.</w:t>
            </w:r>
          </w:p>
        </w:tc>
        <w:tc>
          <w:tcPr>
            <w:tcW w:type="dxa" w:w="3730"/>
          </w:tcPr>
          <w:p>
            <w:pPr>
              <w:spacing w:after="0" w:line="252" w:lineRule="auto"/>
            </w:pPr>
            <w:r>
              <w:rPr>
                <w:rFonts w:ascii="Calibri" w:hAnsi="Calibri"/>
                <w:color w:val="13233A"/>
                <w:sz w:val="17"/>
              </w:rPr>
              <w:t>No decide reglas comerciales.</w:t>
            </w:r>
          </w:p>
        </w:tc>
      </w:tr>
      <w:tr>
        <w:trPr>
          <w:cantSplit/>
        </w:trPr>
        <w:tc>
          <w:tcPr>
            <w:tcW w:type="dxa" w:w="1900"/>
          </w:tcPr>
          <w:p>
            <w:pPr>
              <w:spacing w:after="0" w:line="252" w:lineRule="auto"/>
            </w:pPr>
            <w:r>
              <w:rPr>
                <w:rFonts w:ascii="Calibri" w:hAnsi="Calibri"/>
                <w:color w:val="13233A"/>
                <w:sz w:val="17"/>
              </w:rPr>
              <w:t>Ruta</w:t>
            </w:r>
          </w:p>
        </w:tc>
        <w:tc>
          <w:tcPr>
            <w:tcW w:type="dxa" w:w="3730"/>
          </w:tcPr>
          <w:p>
            <w:pPr>
              <w:spacing w:after="0" w:line="252" w:lineRule="auto"/>
            </w:pPr>
            <w:r>
              <w:rPr>
                <w:rFonts w:ascii="Calibri" w:hAnsi="Calibri"/>
                <w:color w:val="13233A"/>
                <w:sz w:val="17"/>
              </w:rPr>
              <w:t>Declara método, URL, middleware y controlador.</w:t>
            </w:r>
          </w:p>
        </w:tc>
        <w:tc>
          <w:tcPr>
            <w:tcW w:type="dxa" w:w="3730"/>
          </w:tcPr>
          <w:p>
            <w:pPr>
              <w:spacing w:after="0" w:line="252" w:lineRule="auto"/>
            </w:pPr>
            <w:r>
              <w:rPr>
                <w:rFonts w:ascii="Calibri" w:hAnsi="Calibri"/>
                <w:color w:val="13233A"/>
                <w:sz w:val="17"/>
              </w:rPr>
              <w:t>No ejecuta consultas pesadas.</w:t>
            </w:r>
          </w:p>
        </w:tc>
      </w:tr>
      <w:tr>
        <w:trPr>
          <w:cantSplit/>
        </w:trPr>
        <w:tc>
          <w:tcPr>
            <w:tcW w:type="dxa" w:w="1900"/>
          </w:tcPr>
          <w:p>
            <w:pPr>
              <w:spacing w:after="0" w:line="252" w:lineRule="auto"/>
            </w:pPr>
            <w:r>
              <w:rPr>
                <w:rFonts w:ascii="Calibri" w:hAnsi="Calibri"/>
                <w:color w:val="13233A"/>
                <w:sz w:val="17"/>
              </w:rPr>
              <w:t>Middleware</w:t>
            </w:r>
          </w:p>
        </w:tc>
        <w:tc>
          <w:tcPr>
            <w:tcW w:type="dxa" w:w="3730"/>
          </w:tcPr>
          <w:p>
            <w:pPr>
              <w:spacing w:after="0" w:line="252" w:lineRule="auto"/>
            </w:pPr>
            <w:r>
              <w:rPr>
                <w:rFonts w:ascii="Calibri" w:hAnsi="Calibri"/>
                <w:color w:val="13233A"/>
                <w:sz w:val="17"/>
              </w:rPr>
              <w:t>Autentica, autoriza, completa contexto y audita.</w:t>
            </w:r>
          </w:p>
        </w:tc>
        <w:tc>
          <w:tcPr>
            <w:tcW w:type="dxa" w:w="3730"/>
          </w:tcPr>
          <w:p>
            <w:pPr>
              <w:spacing w:after="0" w:line="252" w:lineRule="auto"/>
            </w:pPr>
            <w:r>
              <w:rPr>
                <w:rFonts w:ascii="Calibri" w:hAnsi="Calibri"/>
                <w:color w:val="13233A"/>
                <w:sz w:val="17"/>
              </w:rPr>
              <w:t>Actúa antes/después del caso de uso.</w:t>
            </w:r>
          </w:p>
        </w:tc>
      </w:tr>
      <w:tr>
        <w:trPr>
          <w:cantSplit/>
        </w:trPr>
        <w:tc>
          <w:tcPr>
            <w:tcW w:type="dxa" w:w="1900"/>
          </w:tcPr>
          <w:p>
            <w:pPr>
              <w:spacing w:after="0" w:line="252" w:lineRule="auto"/>
            </w:pPr>
            <w:r>
              <w:rPr>
                <w:rFonts w:ascii="Calibri" w:hAnsi="Calibri"/>
                <w:color w:val="13233A"/>
                <w:sz w:val="17"/>
              </w:rPr>
              <w:t>Controlador</w:t>
            </w:r>
          </w:p>
        </w:tc>
        <w:tc>
          <w:tcPr>
            <w:tcW w:type="dxa" w:w="3730"/>
          </w:tcPr>
          <w:p>
            <w:pPr>
              <w:spacing w:after="0" w:line="252" w:lineRule="auto"/>
            </w:pPr>
            <w:r>
              <w:rPr>
                <w:rFonts w:ascii="Calibri" w:hAnsi="Calibri"/>
                <w:color w:val="13233A"/>
                <w:sz w:val="17"/>
              </w:rPr>
              <w:t>Traduce HTTP a parámetros de negocio y responde códigos HTTP.</w:t>
            </w:r>
          </w:p>
        </w:tc>
        <w:tc>
          <w:tcPr>
            <w:tcW w:type="dxa" w:w="3730"/>
          </w:tcPr>
          <w:p>
            <w:pPr>
              <w:spacing w:after="0" w:line="252" w:lineRule="auto"/>
            </w:pPr>
            <w:r>
              <w:rPr>
                <w:rFonts w:ascii="Calibri" w:hAnsi="Calibri"/>
                <w:color w:val="13233A"/>
                <w:sz w:val="17"/>
              </w:rPr>
              <w:t>Debe ser delgado.</w:t>
            </w:r>
          </w:p>
        </w:tc>
      </w:tr>
      <w:tr>
        <w:trPr>
          <w:cantSplit/>
        </w:trPr>
        <w:tc>
          <w:tcPr>
            <w:tcW w:type="dxa" w:w="1900"/>
          </w:tcPr>
          <w:p>
            <w:pPr>
              <w:spacing w:after="0" w:line="252" w:lineRule="auto"/>
            </w:pPr>
            <w:r>
              <w:rPr>
                <w:rFonts w:ascii="Calibri" w:hAnsi="Calibri"/>
                <w:color w:val="13233A"/>
                <w:sz w:val="17"/>
              </w:rPr>
              <w:t>Servicio / rules</w:t>
            </w:r>
          </w:p>
        </w:tc>
        <w:tc>
          <w:tcPr>
            <w:tcW w:type="dxa" w:w="3730"/>
          </w:tcPr>
          <w:p>
            <w:pPr>
              <w:spacing w:after="0" w:line="252" w:lineRule="auto"/>
            </w:pPr>
            <w:r>
              <w:rPr>
                <w:rFonts w:ascii="Calibri" w:hAnsi="Calibri"/>
                <w:color w:val="13233A"/>
                <w:sz w:val="17"/>
              </w:rPr>
              <w:t>Ejecuta reglas, transacciones, validaciones y consultas.</w:t>
            </w:r>
          </w:p>
        </w:tc>
        <w:tc>
          <w:tcPr>
            <w:tcW w:type="dxa" w:w="3730"/>
          </w:tcPr>
          <w:p>
            <w:pPr>
              <w:spacing w:after="0" w:line="252" w:lineRule="auto"/>
            </w:pPr>
            <w:r>
              <w:rPr>
                <w:rFonts w:ascii="Calibri" w:hAnsi="Calibri"/>
                <w:color w:val="13233A"/>
                <w:sz w:val="17"/>
              </w:rPr>
              <w:t>Es el corazón funcional.</w:t>
            </w:r>
          </w:p>
        </w:tc>
      </w:tr>
      <w:tr>
        <w:trPr>
          <w:cantSplit/>
        </w:trPr>
        <w:tc>
          <w:tcPr>
            <w:tcW w:type="dxa" w:w="1900"/>
          </w:tcPr>
          <w:p>
            <w:pPr>
              <w:spacing w:after="0" w:line="252" w:lineRule="auto"/>
            </w:pPr>
            <w:r>
              <w:rPr>
                <w:rFonts w:ascii="Calibri" w:hAnsi="Calibri"/>
                <w:color w:val="13233A"/>
                <w:sz w:val="17"/>
              </w:rPr>
              <w:t>Integración</w:t>
            </w:r>
          </w:p>
        </w:tc>
        <w:tc>
          <w:tcPr>
            <w:tcW w:type="dxa" w:w="3730"/>
          </w:tcPr>
          <w:p>
            <w:pPr>
              <w:spacing w:after="0" w:line="252" w:lineRule="auto"/>
            </w:pPr>
            <w:r>
              <w:rPr>
                <w:rFonts w:ascii="Calibri" w:hAnsi="Calibri"/>
                <w:color w:val="13233A"/>
                <w:sz w:val="17"/>
              </w:rPr>
              <w:t>Aísla lectura FARENET o proveedor externo.</w:t>
            </w:r>
          </w:p>
        </w:tc>
        <w:tc>
          <w:tcPr>
            <w:tcW w:type="dxa" w:w="3730"/>
          </w:tcPr>
          <w:p>
            <w:pPr>
              <w:spacing w:after="0" w:line="252" w:lineRule="auto"/>
            </w:pPr>
            <w:r>
              <w:rPr>
                <w:rFonts w:ascii="Calibri" w:hAnsi="Calibri"/>
                <w:color w:val="13233A"/>
                <w:sz w:val="17"/>
              </w:rPr>
              <w:t>Evita acoplar el dominio.</w:t>
            </w:r>
          </w:p>
        </w:tc>
      </w:tr>
      <w:tr>
        <w:trPr>
          <w:cantSplit/>
        </w:trPr>
        <w:tc>
          <w:tcPr>
            <w:tcW w:type="dxa" w:w="1900"/>
          </w:tcPr>
          <w:p>
            <w:pPr>
              <w:spacing w:after="0" w:line="252" w:lineRule="auto"/>
            </w:pPr>
            <w:r>
              <w:rPr>
                <w:rFonts w:ascii="Calibri" w:hAnsi="Calibri"/>
                <w:color w:val="13233A"/>
                <w:sz w:val="17"/>
              </w:rPr>
              <w:t>Plantilla</w:t>
            </w:r>
          </w:p>
        </w:tc>
        <w:tc>
          <w:tcPr>
            <w:tcW w:type="dxa" w:w="3730"/>
          </w:tcPr>
          <w:p>
            <w:pPr>
              <w:spacing w:after="0" w:line="252" w:lineRule="auto"/>
            </w:pPr>
            <w:r>
              <w:rPr>
                <w:rFonts w:ascii="Calibri" w:hAnsi="Calibri"/>
                <w:color w:val="13233A"/>
                <w:sz w:val="17"/>
              </w:rPr>
              <w:t>Construye el HTML del certificado.</w:t>
            </w:r>
          </w:p>
        </w:tc>
        <w:tc>
          <w:tcPr>
            <w:tcW w:type="dxa" w:w="3730"/>
          </w:tcPr>
          <w:p>
            <w:pPr>
              <w:spacing w:after="0" w:line="252" w:lineRule="auto"/>
            </w:pPr>
            <w:r>
              <w:rPr>
                <w:rFonts w:ascii="Calibri" w:hAnsi="Calibri"/>
                <w:color w:val="13233A"/>
                <w:sz w:val="17"/>
              </w:rPr>
              <w:t>No consume correlativo al previsualizar.</w:t>
            </w:r>
          </w:p>
        </w:tc>
      </w:tr>
      <w:tr>
        <w:trPr>
          <w:cantSplit/>
        </w:trPr>
        <w:tc>
          <w:tcPr>
            <w:tcW w:type="dxa" w:w="1900"/>
          </w:tcPr>
          <w:p>
            <w:pPr>
              <w:spacing w:after="0" w:line="252" w:lineRule="auto"/>
            </w:pPr>
            <w:r>
              <w:rPr>
                <w:rFonts w:ascii="Calibri" w:hAnsi="Calibri"/>
                <w:color w:val="13233A"/>
                <w:sz w:val="17"/>
              </w:rPr>
              <w:t>Migración</w:t>
            </w:r>
          </w:p>
        </w:tc>
        <w:tc>
          <w:tcPr>
            <w:tcW w:type="dxa" w:w="3730"/>
          </w:tcPr>
          <w:p>
            <w:pPr>
              <w:spacing w:after="0" w:line="252" w:lineRule="auto"/>
            </w:pPr>
            <w:r>
              <w:rPr>
                <w:rFonts w:ascii="Calibri" w:hAnsi="Calibri"/>
                <w:color w:val="13233A"/>
                <w:sz w:val="17"/>
              </w:rPr>
              <w:t>Versiona la estructura y evolución de PostgreSQL.</w:t>
            </w:r>
          </w:p>
        </w:tc>
        <w:tc>
          <w:tcPr>
            <w:tcW w:type="dxa" w:w="3730"/>
          </w:tcPr>
          <w:p>
            <w:pPr>
              <w:spacing w:after="0" w:line="252" w:lineRule="auto"/>
            </w:pPr>
            <w:r>
              <w:rPr>
                <w:rFonts w:ascii="Calibri" w:hAnsi="Calibri"/>
                <w:color w:val="13233A"/>
                <w:sz w:val="17"/>
              </w:rPr>
              <w:t>Se aplica una vez por entorno.</w:t>
            </w:r>
          </w:p>
        </w:tc>
      </w:tr>
    </w:tbl>
    <w:p>
      <w:pPr>
        <w:spacing w:after="0"/>
      </w:pPr>
    </w:p>
    <w:p>
      <w:pPr>
        <w:pStyle w:val="Heading2"/>
      </w:pPr>
      <w:r>
        <w:t>1.3 Puntos de integración externos al módulo</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3400"/>
        <w:gridCol w:w="5960"/>
      </w:tblGrid>
      <w:tr>
        <w:trPr>
          <w:tblHeader w:val="true"/>
        </w:trPr>
        <w:tc>
          <w:tcPr>
            <w:tcW w:type="dxa" w:w="3400"/>
            <w:tcMar>
              <w:top w:w="80" w:type="dxa"/>
              <w:start w:w="120" w:type="dxa"/>
              <w:bottom w:w="80" w:type="dxa"/>
              <w:end w:w="120" w:type="dxa"/>
            </w:tcMar>
            <w:vAlign w:val="center"/>
            <w:shd w:fill="082B66"/>
          </w:tcPr>
          <w:p>
            <w:pPr>
              <w:spacing w:after="0"/>
            </w:pPr>
            <w:r>
              <w:rPr>
                <w:rFonts w:ascii="Calibri" w:hAnsi="Calibri"/>
                <w:b/>
                <w:color w:val="FFFFFF"/>
                <w:sz w:val="16"/>
              </w:rPr>
              <w:t>ARCHIVO</w:t>
            </w:r>
          </w:p>
        </w:tc>
        <w:tc>
          <w:tcPr>
            <w:tcW w:type="dxa" w:w="5960"/>
            <w:tcMar>
              <w:top w:w="80" w:type="dxa"/>
              <w:start w:w="120" w:type="dxa"/>
              <w:bottom w:w="80" w:type="dxa"/>
              <w:end w:w="120" w:type="dxa"/>
            </w:tcMar>
            <w:vAlign w:val="center"/>
            <w:shd w:fill="082B66"/>
          </w:tcPr>
          <w:p>
            <w:pPr>
              <w:spacing w:after="0"/>
            </w:pPr>
            <w:r>
              <w:rPr>
                <w:rFonts w:ascii="Calibri" w:hAnsi="Calibri"/>
                <w:b/>
                <w:color w:val="FFFFFF"/>
                <w:sz w:val="16"/>
              </w:rPr>
              <w:t>FUNCIÓN</w:t>
            </w:r>
          </w:p>
        </w:tc>
      </w:tr>
      <w:tr>
        <w:trPr>
          <w:cantSplit/>
        </w:trPr>
        <w:tc>
          <w:tcPr>
            <w:tcW w:type="dxa" w:w="3400"/>
          </w:tcPr>
          <w:p>
            <w:pPr>
              <w:spacing w:after="0" w:line="252" w:lineRule="auto"/>
            </w:pPr>
            <w:r>
              <w:rPr>
                <w:rFonts w:ascii="Calibri" w:hAnsi="Calibri"/>
                <w:color w:val="13233A"/>
                <w:sz w:val="18"/>
              </w:rPr>
              <w:t>farenetFrontend/src/App.tsx</w:t>
            </w:r>
          </w:p>
        </w:tc>
        <w:tc>
          <w:tcPr>
            <w:tcW w:type="dxa" w:w="5960"/>
          </w:tcPr>
          <w:p>
            <w:pPr>
              <w:spacing w:after="0" w:line="252" w:lineRule="auto"/>
            </w:pPr>
            <w:r>
              <w:rPr>
                <w:rFonts w:ascii="Calibri" w:hAnsi="Calibri"/>
                <w:color w:val="13233A"/>
                <w:sz w:val="18"/>
              </w:rPr>
              <w:t>Reconoce FAREGAS, conserva la sesión, declara /faregas/* y monta sus vistas protegidas.</w:t>
            </w:r>
          </w:p>
        </w:tc>
      </w:tr>
      <w:tr>
        <w:trPr>
          <w:cantSplit/>
        </w:trPr>
        <w:tc>
          <w:tcPr>
            <w:tcW w:type="dxa" w:w="3400"/>
          </w:tcPr>
          <w:p>
            <w:pPr>
              <w:spacing w:after="0" w:line="252" w:lineRule="auto"/>
            </w:pPr>
            <w:r>
              <w:rPr>
                <w:rFonts w:ascii="Calibri" w:hAnsi="Calibri"/>
                <w:color w:val="13233A"/>
                <w:sz w:val="18"/>
              </w:rPr>
              <w:t>farenetFrontend/src/services/api.ts</w:t>
            </w:r>
          </w:p>
        </w:tc>
        <w:tc>
          <w:tcPr>
            <w:tcW w:type="dxa" w:w="5960"/>
          </w:tcPr>
          <w:p>
            <w:pPr>
              <w:spacing w:after="0" w:line="252" w:lineRule="auto"/>
            </w:pPr>
            <w:r>
              <w:rPr>
                <w:rFonts w:ascii="Calibri" w:hAnsi="Calibri"/>
                <w:color w:val="13233A"/>
                <w:sz w:val="18"/>
              </w:rPr>
              <w:t>Mantiene APIs globales/legacy aún reutilizadas por el wizard, como maestros e inspecciones.</w:t>
            </w:r>
          </w:p>
        </w:tc>
      </w:tr>
      <w:tr>
        <w:trPr>
          <w:cantSplit/>
        </w:trPr>
        <w:tc>
          <w:tcPr>
            <w:tcW w:type="dxa" w:w="3400"/>
          </w:tcPr>
          <w:p>
            <w:pPr>
              <w:spacing w:after="0" w:line="252" w:lineRule="auto"/>
            </w:pPr>
            <w:r>
              <w:rPr>
                <w:rFonts w:ascii="Calibri" w:hAnsi="Calibri"/>
                <w:color w:val="13233A"/>
                <w:sz w:val="18"/>
              </w:rPr>
              <w:t>farenetBackend/app.js</w:t>
            </w:r>
          </w:p>
        </w:tc>
        <w:tc>
          <w:tcPr>
            <w:tcW w:type="dxa" w:w="5960"/>
          </w:tcPr>
          <w:p>
            <w:pPr>
              <w:spacing w:after="0" w:line="252" w:lineRule="auto"/>
            </w:pPr>
            <w:r>
              <w:rPr>
                <w:rFonts w:ascii="Calibri" w:hAnsi="Calibri"/>
                <w:color w:val="13233A"/>
                <w:sz w:val="18"/>
              </w:rPr>
              <w:t>Monta /api/faregas y /api/faregas/auth sobre los routers del módulo.</w:t>
            </w:r>
          </w:p>
        </w:tc>
      </w:tr>
      <w:tr>
        <w:trPr>
          <w:cantSplit/>
        </w:trPr>
        <w:tc>
          <w:tcPr>
            <w:tcW w:type="dxa" w:w="3400"/>
          </w:tcPr>
          <w:p>
            <w:pPr>
              <w:spacing w:after="0" w:line="252" w:lineRule="auto"/>
            </w:pPr>
            <w:r>
              <w:rPr>
                <w:rFonts w:ascii="Calibri" w:hAnsi="Calibri"/>
                <w:color w:val="13233A"/>
                <w:sz w:val="18"/>
              </w:rPr>
              <w:t>farenetBackend/config/database.js</w:t>
            </w:r>
          </w:p>
        </w:tc>
        <w:tc>
          <w:tcPr>
            <w:tcW w:type="dxa" w:w="5960"/>
          </w:tcPr>
          <w:p>
            <w:pPr>
              <w:spacing w:after="0" w:line="252" w:lineRule="auto"/>
            </w:pPr>
            <w:r>
              <w:rPr>
                <w:rFonts w:ascii="Calibri" w:hAnsi="Calibri"/>
                <w:color w:val="13233A"/>
                <w:sz w:val="18"/>
              </w:rPr>
              <w:t>Pool PostgreSQL compartido por los servicios; no pertenece al módulo pero es su acceso físico a BD.</w:t>
            </w:r>
          </w:p>
        </w:tc>
      </w:tr>
    </w:tbl>
    <w:p>
      <w:pPr>
        <w:spacing w:after="0"/>
      </w:pPr>
    </w:p>
    <w:p>
      <w:pPr>
        <w:pStyle w:val="Heading1"/>
      </w:pPr>
      <w:r>
        <w:t>2. Arquitectura de archivos del frontend</w:t>
      </w:r>
    </w:p>
    <w:tbl>
      <w:tblPr>
        <w:tblW w:type="dxa" w:w="9360"/>
        <w:jc w:val="left"/>
        <w:tblLayout w:type="fixed"/>
        <w:tblLook w:firstColumn="1" w:firstRow="1" w:lastColumn="0" w:lastRow="0" w:noHBand="0" w:noVBand="1" w:val="04A0"/>
        <w:tblInd w:w="120" w:type="dxa"/>
        <w:tblBorders>
          <w:top w:val="single" w:sz="8" w:color="0A3D91"/>
          <w:left w:val="single" w:sz="8" w:color="0A3D91"/>
          <w:bottom w:val="single" w:sz="8" w:color="0A3D91"/>
          <w:right w:val="single" w:sz="8" w:color="0A3D91"/>
          <w:insideH w:val="single" w:sz="8" w:color="0A3D91"/>
          <w:insideV w:val="single" w:sz="8" w:color="0A3D91"/>
        </w:tblBorders>
      </w:tblPr>
      <w:tblGrid>
        <w:gridCol w:w="9360"/>
      </w:tblGrid>
      <w:tr>
        <w:tc>
          <w:tcPr>
            <w:tcW w:type="dxa" w:w="9360"/>
            <w:tcMar>
              <w:top w:w="80" w:type="dxa"/>
              <w:start w:w="120" w:type="dxa"/>
              <w:bottom w:w="80" w:type="dxa"/>
              <w:end w:w="120" w:type="dxa"/>
            </w:tcMar>
            <w:vAlign w:val="center"/>
            <w:shd w:fill="F3F7FC"/>
          </w:tcPr>
          <w:p>
            <w:pPr>
              <w:spacing w:after="60"/>
            </w:pPr>
            <w:r>
              <w:rPr>
                <w:rFonts w:ascii="Calibri" w:hAnsi="Calibri"/>
                <w:b/>
                <w:color w:val="0A3D91"/>
                <w:sz w:val="21"/>
              </w:rPr>
              <w:t>Raíz funcional</w:t>
            </w:r>
          </w:p>
          <w:p>
            <w:pPr>
              <w:spacing w:after="0" w:line="288" w:lineRule="auto"/>
            </w:pPr>
            <w:r>
              <w:rPr>
                <w:rFonts w:ascii="Calibri" w:hAnsi="Calibri"/>
                <w:color w:val="13233A"/>
                <w:sz w:val="20"/>
              </w:rPr>
              <w:t>farenetFrontend/src/modules/faregas. Las vistas nunca deben llamar directamente a PostgreSQL ni conocer tablas; se comunican con el backend mediante los archivos .api.ts y el cliente HTTP común.</w:t>
            </w:r>
          </w:p>
        </w:tc>
      </w:tr>
    </w:tbl>
    <w:p>
      <w:pPr>
        <w:spacing w:after="0"/>
      </w:pPr>
    </w:p>
    <w:p>
      <w:pPr>
        <w:pStyle w:val="Heading2"/>
      </w:pPr>
      <w:r>
        <w:t>2.1 Árbol actual</w:t>
      </w:r>
    </w:p>
    <w:tbl>
      <w:tblPr>
        <w:tblW w:type="dxa" w:w="9360"/>
        <w:jc w:val="left"/>
        <w:tblLayout w:type="fixed"/>
        <w:tblLook w:firstColumn="1" w:firstRow="1" w:lastColumn="0" w:lastRow="0" w:noHBand="0" w:noVBand="1" w:val="04A0"/>
        <w:tblInd w:w="120" w:type="dxa"/>
        <w:tblBorders>
          <w:top w:val="single" w:sz="5" w:color="B9C7D8"/>
          <w:left w:val="single" w:sz="5" w:color="B9C7D8"/>
          <w:bottom w:val="single" w:sz="5" w:color="B9C7D8"/>
          <w:right w:val="single" w:sz="5" w:color="B9C7D8"/>
          <w:insideH w:val="single" w:sz="5" w:color="B9C7D8"/>
          <w:insideV w:val="single" w:sz="5" w:color="B9C7D8"/>
        </w:tblBorders>
      </w:tblPr>
      <w:tblGrid>
        <w:gridCol w:w="9360"/>
      </w:tblGrid>
      <w:tr>
        <w:tc>
          <w:tcPr>
            <w:tcW w:type="dxa" w:w="9360"/>
            <w:tcMar>
              <w:top w:w="80" w:type="dxa"/>
              <w:start w:w="120" w:type="dxa"/>
              <w:bottom w:w="80" w:type="dxa"/>
              <w:end w:w="120" w:type="dxa"/>
            </w:tcMar>
            <w:vAlign w:val="center"/>
            <w:shd w:fill="F6F8FB"/>
          </w:tcPr>
          <w:p>
            <w:pPr>
              <w:spacing w:after="0" w:line="240" w:lineRule="auto"/>
            </w:pPr>
            <w:r>
              <w:rPr>
                <w:rFonts w:ascii="Consolas" w:hAnsi="Consolas"/>
                <w:color w:val="26364A"/>
                <w:sz w:val="15"/>
              </w:rPr>
              <w:t>src/modules/faregas</w:t>
            </w:r>
            <w:r>
              <w:br/>
            </w:r>
            <w:r>
              <w:rPr>
                <w:rFonts w:ascii="Consolas" w:hAnsi="Consolas"/>
                <w:color w:val="26364A"/>
                <w:sz w:val="15"/>
              </w:rPr>
              <w:t>├── services</w:t>
            </w:r>
            <w:r>
              <w:br/>
            </w:r>
            <w:r>
              <w:rPr>
                <w:rFonts w:ascii="Consolas" w:hAnsi="Consolas"/>
                <w:color w:val="26364A"/>
                <w:sz w:val="15"/>
              </w:rPr>
              <w:t>│   ├── faregas-auditoria.api.ts</w:t>
            </w:r>
            <w:r>
              <w:br/>
            </w:r>
            <w:r>
              <w:rPr>
                <w:rFonts w:ascii="Consolas" w:hAnsi="Consolas"/>
                <w:color w:val="26364A"/>
                <w:sz w:val="15"/>
              </w:rPr>
              <w:t>│   ├── faregas-certificados.api.ts</w:t>
            </w:r>
            <w:r>
              <w:br/>
            </w:r>
            <w:r>
              <w:rPr>
                <w:rFonts w:ascii="Consolas" w:hAnsi="Consolas"/>
                <w:color w:val="26364A"/>
                <w:sz w:val="15"/>
              </w:rPr>
              <w:t>│   ├── faregas-clientes.api.ts</w:t>
            </w:r>
            <w:r>
              <w:br/>
            </w:r>
            <w:r>
              <w:rPr>
                <w:rFonts w:ascii="Consolas" w:hAnsi="Consolas"/>
                <w:color w:val="26364A"/>
                <w:sz w:val="15"/>
              </w:rPr>
              <w:t>│   ├── faregas-config.api.ts</w:t>
            </w:r>
            <w:r>
              <w:br/>
            </w:r>
            <w:r>
              <w:rPr>
                <w:rFonts w:ascii="Consolas" w:hAnsi="Consolas"/>
                <w:color w:val="26364A"/>
                <w:sz w:val="15"/>
              </w:rPr>
              <w:t>│   ├── faregas-descuentos.api.ts</w:t>
            </w:r>
            <w:r>
              <w:br/>
            </w:r>
            <w:r>
              <w:rPr>
                <w:rFonts w:ascii="Consolas" w:hAnsi="Consolas"/>
                <w:color w:val="26364A"/>
                <w:sz w:val="15"/>
              </w:rPr>
              <w:t>│   ├── faregas-http-client.ts</w:t>
            </w:r>
            <w:r>
              <w:br/>
            </w:r>
            <w:r>
              <w:rPr>
                <w:rFonts w:ascii="Consolas" w:hAnsi="Consolas"/>
                <w:color w:val="26364A"/>
                <w:sz w:val="15"/>
              </w:rPr>
              <w:t>│   ├── faregas-productos.api.ts</w:t>
            </w:r>
            <w:r>
              <w:br/>
            </w:r>
            <w:r>
              <w:rPr>
                <w:rFonts w:ascii="Consolas" w:hAnsi="Consolas"/>
                <w:color w:val="26364A"/>
                <w:sz w:val="15"/>
              </w:rPr>
              <w:t>│   ├── faregas-series.api.ts</w:t>
            </w:r>
            <w:r>
              <w:br/>
            </w:r>
            <w:r>
              <w:rPr>
                <w:rFonts w:ascii="Consolas" w:hAnsi="Consolas"/>
                <w:color w:val="26364A"/>
                <w:sz w:val="15"/>
              </w:rPr>
              <w:t>│   ├── faregas-tarifas-admin.api.ts</w:t>
            </w:r>
            <w:r>
              <w:br/>
            </w:r>
            <w:r>
              <w:rPr>
                <w:rFonts w:ascii="Consolas" w:hAnsi="Consolas"/>
                <w:color w:val="26364A"/>
                <w:sz w:val="15"/>
              </w:rPr>
              <w:t>│   ├── faregas-tarifas.api.ts</w:t>
            </w:r>
            <w:r>
              <w:br/>
            </w:r>
            <w:r>
              <w:rPr>
                <w:rFonts w:ascii="Consolas" w:hAnsi="Consolas"/>
                <w:color w:val="26364A"/>
                <w:sz w:val="15"/>
              </w:rPr>
              <w:t>│   └── faregas-usuarios.api.ts</w:t>
            </w:r>
            <w:r>
              <w:br/>
            </w:r>
            <w:r>
              <w:rPr>
                <w:rFonts w:ascii="Consolas" w:hAnsi="Consolas"/>
                <w:color w:val="26364A"/>
                <w:sz w:val="15"/>
              </w:rPr>
              <w:t>├── types</w:t>
            </w:r>
            <w:r>
              <w:br/>
            </w:r>
            <w:r>
              <w:rPr>
                <w:rFonts w:ascii="Consolas" w:hAnsi="Consolas"/>
                <w:color w:val="26364A"/>
                <w:sz w:val="15"/>
              </w:rPr>
              <w:t>│   ├── faregas-api.ts</w:t>
            </w:r>
            <w:r>
              <w:br/>
            </w:r>
            <w:r>
              <w:rPr>
                <w:rFonts w:ascii="Consolas" w:hAnsi="Consolas"/>
                <w:color w:val="26364A"/>
                <w:sz w:val="15"/>
              </w:rPr>
              <w:t>│   └── faregas.ts</w:t>
            </w:r>
            <w:r>
              <w:br/>
            </w:r>
            <w:r>
              <w:rPr>
                <w:rFonts w:ascii="Consolas" w:hAnsi="Consolas"/>
                <w:color w:val="26364A"/>
                <w:sz w:val="15"/>
              </w:rPr>
              <w:t>├── utils</w:t>
            </w:r>
            <w:r>
              <w:br/>
            </w:r>
            <w:r>
              <w:rPr>
                <w:rFonts w:ascii="Consolas" w:hAnsi="Consolas"/>
                <w:color w:val="26364A"/>
                <w:sz w:val="15"/>
              </w:rPr>
              <w:t>│   ├── exportar-excel.ts</w:t>
            </w:r>
            <w:r>
              <w:br/>
            </w:r>
            <w:r>
              <w:rPr>
                <w:rFonts w:ascii="Consolas" w:hAnsi="Consolas"/>
                <w:color w:val="26364A"/>
                <w:sz w:val="15"/>
              </w:rPr>
              <w:t>│   └── vehiculo-formatters.ts</w:t>
            </w:r>
            <w:r>
              <w:br/>
            </w:r>
            <w:r>
              <w:rPr>
                <w:rFonts w:ascii="Consolas" w:hAnsi="Consolas"/>
                <w:color w:val="26364A"/>
                <w:sz w:val="15"/>
              </w:rPr>
              <w:t>└── views</w:t>
            </w:r>
            <w:r>
              <w:br/>
            </w:r>
            <w:r>
              <w:rPr>
                <w:rFonts w:ascii="Consolas" w:hAnsi="Consolas"/>
                <w:color w:val="26364A"/>
                <w:sz w:val="15"/>
              </w:rPr>
              <w:t xml:space="preserve">    ├── Auditoria</w:t>
            </w:r>
            <w:r>
              <w:br/>
            </w:r>
            <w:r>
              <w:rPr>
                <w:rFonts w:ascii="Consolas" w:hAnsi="Consolas"/>
                <w:color w:val="26364A"/>
                <w:sz w:val="15"/>
              </w:rPr>
              <w:t xml:space="preserve">    │   └── AuditoriaView.tsx</w:t>
            </w:r>
            <w:r>
              <w:br/>
            </w:r>
            <w:r>
              <w:rPr>
                <w:rFonts w:ascii="Consolas" w:hAnsi="Consolas"/>
                <w:color w:val="26364A"/>
                <w:sz w:val="15"/>
              </w:rPr>
              <w:t xml:space="preserve">    ├── Configuracion</w:t>
            </w:r>
            <w:r>
              <w:br/>
            </w:r>
            <w:r>
              <w:rPr>
                <w:rFonts w:ascii="Consolas" w:hAnsi="Consolas"/>
                <w:color w:val="26364A"/>
                <w:sz w:val="15"/>
              </w:rPr>
              <w:t xml:space="preserve">    │   ├── components</w:t>
            </w:r>
            <w:r>
              <w:br/>
            </w:r>
            <w:r>
              <w:rPr>
                <w:rFonts w:ascii="Consolas" w:hAnsi="Consolas"/>
                <w:color w:val="26364A"/>
                <w:sz w:val="15"/>
              </w:rPr>
              <w:t xml:space="preserve">    │   │   ├── AsignarSedesModal.tsx</w:t>
            </w:r>
            <w:r>
              <w:br/>
            </w:r>
            <w:r>
              <w:rPr>
                <w:rFonts w:ascii="Consolas" w:hAnsi="Consolas"/>
                <w:color w:val="26364A"/>
                <w:sz w:val="15"/>
              </w:rPr>
              <w:t xml:space="preserve">    │   │   ├── ServicioModal.tsx</w:t>
            </w:r>
            <w:r>
              <w:br/>
            </w:r>
            <w:r>
              <w:rPr>
                <w:rFonts w:ascii="Consolas" w:hAnsi="Consolas"/>
                <w:color w:val="26364A"/>
                <w:sz w:val="15"/>
              </w:rPr>
              <w:t xml:space="preserve">    │   │   ├── TabCatalogo.tsx</w:t>
            </w:r>
            <w:r>
              <w:br/>
            </w:r>
            <w:r>
              <w:rPr>
                <w:rFonts w:ascii="Consolas" w:hAnsi="Consolas"/>
                <w:color w:val="26364A"/>
                <w:sz w:val="15"/>
              </w:rPr>
              <w:t xml:space="preserve">    │   │   ├── TabCategorias.tsx</w:t>
            </w:r>
            <w:r>
              <w:br/>
            </w:r>
            <w:r>
              <w:rPr>
                <w:rFonts w:ascii="Consolas" w:hAnsi="Consolas"/>
                <w:color w:val="26364A"/>
                <w:sz w:val="15"/>
              </w:rPr>
              <w:t xml:space="preserve">    │   │   ├── TabCertificadosBase.tsx</w:t>
            </w:r>
            <w:r>
              <w:br/>
            </w:r>
            <w:r>
              <w:rPr>
                <w:rFonts w:ascii="Consolas" w:hAnsi="Consolas"/>
                <w:color w:val="26364A"/>
                <w:sz w:val="15"/>
              </w:rPr>
              <w:t xml:space="preserve">    │   │   ├── TabCorrelativos.tsx</w:t>
            </w:r>
            <w:r>
              <w:br/>
            </w:r>
            <w:r>
              <w:rPr>
                <w:rFonts w:ascii="Consolas" w:hAnsi="Consolas"/>
                <w:color w:val="26364A"/>
                <w:sz w:val="15"/>
              </w:rPr>
              <w:t xml:space="preserve">    │   │   ├── TabEmpresas.tsx</w:t>
            </w:r>
            <w:r>
              <w:br/>
            </w:r>
            <w:r>
              <w:rPr>
                <w:rFonts w:ascii="Consolas" w:hAnsi="Consolas"/>
                <w:color w:val="26364A"/>
                <w:sz w:val="15"/>
              </w:rPr>
              <w:t xml:space="preserve">    │   │   ├── TabFacturacion.tsx</w:t>
            </w:r>
            <w:r>
              <w:br/>
            </w:r>
            <w:r>
              <w:rPr>
                <w:rFonts w:ascii="Consolas" w:hAnsi="Consolas"/>
                <w:color w:val="26364A"/>
                <w:sz w:val="15"/>
              </w:rPr>
              <w:t xml:space="preserve">    │   │   ├── TabProductos.tsx</w:t>
            </w:r>
            <w:r>
              <w:br/>
            </w:r>
            <w:r>
              <w:rPr>
                <w:rFonts w:ascii="Consolas" w:hAnsi="Consolas"/>
                <w:color w:val="26364A"/>
                <w:sz w:val="15"/>
              </w:rPr>
              <w:t xml:space="preserve">    │   │   ├── TabSeries.tsx</w:t>
            </w:r>
            <w:r>
              <w:br/>
            </w:r>
            <w:r>
              <w:rPr>
                <w:rFonts w:ascii="Consolas" w:hAnsi="Consolas"/>
                <w:color w:val="26364A"/>
                <w:sz w:val="15"/>
              </w:rPr>
              <w:t xml:space="preserve">    │   │   ├── TabServicios.tsx</w:t>
            </w:r>
            <w:r>
              <w:br/>
            </w:r>
            <w:r>
              <w:rPr>
                <w:rFonts w:ascii="Consolas" w:hAnsi="Consolas"/>
                <w:color w:val="26364A"/>
                <w:sz w:val="15"/>
              </w:rPr>
              <w:t xml:space="preserve">    │   │   └── TabTarifas.tsx</w:t>
            </w:r>
            <w:r>
              <w:br/>
            </w:r>
            <w:r>
              <w:rPr>
                <w:rFonts w:ascii="Consolas" w:hAnsi="Consolas"/>
                <w:color w:val="26364A"/>
                <w:sz w:val="15"/>
              </w:rPr>
              <w:t xml:space="preserve">    │   ├── FaregasConfiguracionView.tsx</w:t>
            </w:r>
            <w:r>
              <w:br/>
            </w:r>
            <w:r>
              <w:rPr>
                <w:rFonts w:ascii="Consolas" w:hAnsi="Consolas"/>
                <w:color w:val="26364A"/>
                <w:sz w:val="15"/>
              </w:rPr>
              <w:t xml:space="preserve">    │   └── TabSedes.tsx</w:t>
            </w:r>
            <w:r>
              <w:br/>
            </w:r>
            <w:r>
              <w:rPr>
                <w:rFonts w:ascii="Consolas" w:hAnsi="Consolas"/>
                <w:color w:val="26364A"/>
                <w:sz w:val="15"/>
              </w:rPr>
              <w:t xml:space="preserve">    ├── Dashboard</w:t>
            </w:r>
            <w:r>
              <w:br/>
            </w:r>
            <w:r>
              <w:rPr>
                <w:rFonts w:ascii="Consolas" w:hAnsi="Consolas"/>
                <w:color w:val="26364A"/>
                <w:sz w:val="15"/>
              </w:rPr>
              <w:t xml:space="preserve">    │   ├── GenericView.tsx</w:t>
            </w:r>
            <w:r>
              <w:br/>
            </w:r>
            <w:r>
              <w:rPr>
                <w:rFonts w:ascii="Consolas" w:hAnsi="Consolas"/>
                <w:color w:val="26364A"/>
                <w:sz w:val="15"/>
              </w:rPr>
              <w:t xml:space="preserve">    │   └── MainLayout.tsx</w:t>
            </w:r>
            <w:r>
              <w:br/>
            </w:r>
            <w:r>
              <w:rPr>
                <w:rFonts w:ascii="Consolas" w:hAnsi="Consolas"/>
                <w:color w:val="26364A"/>
                <w:sz w:val="15"/>
              </w:rPr>
              <w:t xml:space="preserve">    ├── Descuentos</w:t>
            </w:r>
            <w:r>
              <w:br/>
            </w:r>
            <w:r>
              <w:rPr>
                <w:rFonts w:ascii="Consolas" w:hAnsi="Consolas"/>
                <w:color w:val="26364A"/>
                <w:sz w:val="15"/>
              </w:rPr>
              <w:t xml:space="preserve">    │   └── DescuentosView.tsx</w:t>
            </w:r>
            <w:r>
              <w:br/>
            </w:r>
            <w:r>
              <w:rPr>
                <w:rFonts w:ascii="Consolas" w:hAnsi="Consolas"/>
                <w:color w:val="26364A"/>
                <w:sz w:val="15"/>
              </w:rPr>
              <w:t xml:space="preserve">    ├── Inicio</w:t>
            </w:r>
            <w:r>
              <w:br/>
            </w:r>
            <w:r>
              <w:rPr>
                <w:rFonts w:ascii="Consolas" w:hAnsi="Consolas"/>
                <w:color w:val="26364A"/>
                <w:sz w:val="15"/>
              </w:rPr>
              <w:t xml:space="preserve">    │   └── InicioView.tsx</w:t>
            </w:r>
            <w:r>
              <w:br/>
            </w:r>
            <w:r>
              <w:rPr>
                <w:rFonts w:ascii="Consolas" w:hAnsi="Consolas"/>
                <w:color w:val="26364A"/>
                <w:sz w:val="15"/>
              </w:rPr>
              <w:t xml:space="preserve">    ├── NuevoCertificado</w:t>
            </w:r>
            <w:r>
              <w:br/>
            </w:r>
            <w:r>
              <w:rPr>
                <w:rFonts w:ascii="Consolas" w:hAnsi="Consolas"/>
                <w:color w:val="26364A"/>
                <w:sz w:val="15"/>
              </w:rPr>
              <w:t xml:space="preserve">    │   ├── components</w:t>
            </w:r>
            <w:r>
              <w:br/>
            </w:r>
            <w:r>
              <w:rPr>
                <w:rFonts w:ascii="Consolas" w:hAnsi="Consolas"/>
                <w:color w:val="26364A"/>
                <w:sz w:val="15"/>
              </w:rPr>
              <w:t xml:space="preserve">    │   │   └── NuevoCertificado</w:t>
            </w:r>
            <w:r>
              <w:br/>
            </w:r>
            <w:r>
              <w:rPr>
                <w:rFonts w:ascii="Consolas" w:hAnsi="Consolas"/>
                <w:color w:val="26364A"/>
                <w:sz w:val="15"/>
              </w:rPr>
              <w:t xml:space="preserve">    │   │       ├── conformidad</w:t>
            </w:r>
            <w:r>
              <w:br/>
            </w:r>
            <w:r>
              <w:rPr>
                <w:rFonts w:ascii="Consolas" w:hAnsi="Consolas"/>
                <w:color w:val="26364A"/>
                <w:sz w:val="15"/>
              </w:rPr>
              <w:t xml:space="preserve">    │   │       │   ├── CaracteristicasFinalesStep.tsx</w:t>
            </w:r>
            <w:r>
              <w:br/>
            </w:r>
            <w:r>
              <w:rPr>
                <w:rFonts w:ascii="Consolas" w:hAnsi="Consolas"/>
                <w:color w:val="26364A"/>
                <w:sz w:val="15"/>
              </w:rPr>
              <w:t xml:space="preserve">    │   │       │   └── TipoConformidadStep.tsx</w:t>
            </w:r>
            <w:r>
              <w:br/>
            </w:r>
            <w:r>
              <w:rPr>
                <w:rFonts w:ascii="Consolas" w:hAnsi="Consolas"/>
                <w:color w:val="26364A"/>
                <w:sz w:val="15"/>
              </w:rPr>
              <w:t xml:space="preserve">    │   │       ├── glp</w:t>
            </w:r>
            <w:r>
              <w:br/>
            </w:r>
            <w:r>
              <w:rPr>
                <w:rFonts w:ascii="Consolas" w:hAnsi="Consolas"/>
                <w:color w:val="26364A"/>
                <w:sz w:val="15"/>
              </w:rPr>
              <w:t xml:space="preserve">    │   │       │   ├── ComponentesGlpStep.tsx</w:t>
            </w:r>
            <w:r>
              <w:br/>
            </w:r>
            <w:r>
              <w:rPr>
                <w:rFonts w:ascii="Consolas" w:hAnsi="Consolas"/>
                <w:color w:val="26364A"/>
                <w:sz w:val="15"/>
              </w:rPr>
              <w:t xml:space="preserve">    │   │       │   └── DatosGlpStep.tsx</w:t>
            </w:r>
            <w:r>
              <w:br/>
            </w:r>
            <w:r>
              <w:rPr>
                <w:rFonts w:ascii="Consolas" w:hAnsi="Consolas"/>
                <w:color w:val="26364A"/>
                <w:sz w:val="15"/>
              </w:rPr>
              <w:t xml:space="preserve">    │   │       ├── gnv</w:t>
            </w:r>
            <w:r>
              <w:br/>
            </w:r>
            <w:r>
              <w:rPr>
                <w:rFonts w:ascii="Consolas" w:hAnsi="Consolas"/>
                <w:color w:val="26364A"/>
                <w:sz w:val="15"/>
              </w:rPr>
              <w:t xml:space="preserve">    │   │       │   └── InspeccionGnvStep.tsx</w:t>
            </w:r>
            <w:r>
              <w:br/>
            </w:r>
            <w:r>
              <w:rPr>
                <w:rFonts w:ascii="Consolas" w:hAnsi="Consolas"/>
                <w:color w:val="26364A"/>
                <w:sz w:val="15"/>
              </w:rPr>
              <w:t xml:space="preserve">    │   │       ├── CajaStep.tsx</w:t>
            </w:r>
            <w:r>
              <w:br/>
            </w:r>
            <w:r>
              <w:rPr>
                <w:rFonts w:ascii="Consolas" w:hAnsi="Consolas"/>
                <w:color w:val="26364A"/>
                <w:sz w:val="15"/>
              </w:rPr>
              <w:t xml:space="preserve">    │   │       ├── ConsultaDescuento.tsx</w:t>
            </w:r>
            <w:r>
              <w:br/>
            </w:r>
            <w:r>
              <w:rPr>
                <w:rFonts w:ascii="Consolas" w:hAnsi="Consolas"/>
                <w:color w:val="26364A"/>
                <w:sz w:val="15"/>
              </w:rPr>
              <w:t xml:space="preserve">    │   │       ├── EmisionStep.tsx</w:t>
            </w:r>
            <w:r>
              <w:br/>
            </w:r>
            <w:r>
              <w:rPr>
                <w:rFonts w:ascii="Consolas" w:hAnsi="Consolas"/>
                <w:color w:val="26364A"/>
                <w:sz w:val="15"/>
              </w:rPr>
              <w:t xml:space="preserve">    │   │       ├── FacturacionStep.tsx</w:t>
            </w:r>
            <w:r>
              <w:br/>
            </w:r>
            <w:r>
              <w:rPr>
                <w:rFonts w:ascii="Consolas" w:hAnsi="Consolas"/>
                <w:color w:val="26364A"/>
                <w:sz w:val="15"/>
              </w:rPr>
              <w:t xml:space="preserve">    │   │       ├── PagoStep.tsx</w:t>
            </w:r>
            <w:r>
              <w:br/>
            </w:r>
            <w:r>
              <w:rPr>
                <w:rFonts w:ascii="Consolas" w:hAnsi="Consolas"/>
                <w:color w:val="26364A"/>
                <w:sz w:val="15"/>
              </w:rPr>
              <w:t xml:space="preserve">    │   │       ├── PrevisualizacionCertificadoStep.tsx</w:t>
            </w:r>
            <w:r>
              <w:br/>
            </w:r>
            <w:r>
              <w:rPr>
                <w:rFonts w:ascii="Consolas" w:hAnsi="Consolas"/>
                <w:color w:val="26364A"/>
                <w:sz w:val="15"/>
              </w:rPr>
              <w:t xml:space="preserve">    │   │       ├── PropietarioStep.tsx</w:t>
            </w:r>
            <w:r>
              <w:br/>
            </w:r>
            <w:r>
              <w:rPr>
                <w:rFonts w:ascii="Consolas" w:hAnsi="Consolas"/>
                <w:color w:val="26364A"/>
                <w:sz w:val="15"/>
              </w:rPr>
              <w:t xml:space="preserve">    │   │       ├── SharedForms.tsx</w:t>
            </w:r>
            <w:r>
              <w:br/>
            </w:r>
            <w:r>
              <w:rPr>
                <w:rFonts w:ascii="Consolas" w:hAnsi="Consolas"/>
                <w:color w:val="26364A"/>
                <w:sz w:val="15"/>
              </w:rPr>
              <w:t xml:space="preserve">    │   │       ├── TitularesList.tsx</w:t>
            </w:r>
            <w:r>
              <w:br/>
            </w:r>
            <w:r>
              <w:rPr>
                <w:rFonts w:ascii="Consolas" w:hAnsi="Consolas"/>
                <w:color w:val="26364A"/>
                <w:sz w:val="15"/>
              </w:rPr>
              <w:t xml:space="preserve">    │   │       ├── VehiculoStep.tsx</w:t>
            </w:r>
            <w:r>
              <w:br/>
            </w:r>
            <w:r>
              <w:rPr>
                <w:rFonts w:ascii="Consolas" w:hAnsi="Consolas"/>
                <w:color w:val="26364A"/>
                <w:sz w:val="15"/>
              </w:rPr>
              <w:t xml:space="preserve">    │   │       └── VerificacionStep.tsx</w:t>
            </w:r>
            <w:r>
              <w:br/>
            </w:r>
            <w:r>
              <w:rPr>
                <w:rFonts w:ascii="Consolas" w:hAnsi="Consolas"/>
                <w:color w:val="26364A"/>
                <w:sz w:val="15"/>
              </w:rPr>
              <w:t xml:space="preserve">    │   ├── faregas-wizard.validation.ts</w:t>
            </w:r>
            <w:r>
              <w:br/>
            </w:r>
            <w:r>
              <w:rPr>
                <w:rFonts w:ascii="Consolas" w:hAnsi="Consolas"/>
                <w:color w:val="26364A"/>
                <w:sz w:val="15"/>
              </w:rPr>
              <w:t xml:space="preserve">    │   └── NuevoCertificadoView.tsx</w:t>
            </w:r>
            <w:r>
              <w:br/>
            </w:r>
            <w:r>
              <w:rPr>
                <w:rFonts w:ascii="Consolas" w:hAnsi="Consolas"/>
                <w:color w:val="26364A"/>
                <w:sz w:val="15"/>
              </w:rPr>
              <w:t xml:space="preserve">    ├── SeleccionPlanta</w:t>
            </w:r>
            <w:r>
              <w:br/>
            </w:r>
            <w:r>
              <w:rPr>
                <w:rFonts w:ascii="Consolas" w:hAnsi="Consolas"/>
                <w:color w:val="26364A"/>
                <w:sz w:val="15"/>
              </w:rPr>
              <w:t xml:space="preserve">    │   └── SeleccionPlantaView.tsx</w:t>
            </w:r>
            <w:r>
              <w:br/>
            </w:r>
            <w:r>
              <w:rPr>
                <w:rFonts w:ascii="Consolas" w:hAnsi="Consolas"/>
                <w:color w:val="26364A"/>
                <w:sz w:val="15"/>
              </w:rPr>
              <w:t xml:space="preserve">    └── Usuarios</w:t>
            </w:r>
            <w:r>
              <w:br/>
            </w:r>
            <w:r>
              <w:rPr>
                <w:rFonts w:ascii="Consolas" w:hAnsi="Consolas"/>
                <w:color w:val="26364A"/>
                <w:sz w:val="15"/>
              </w:rPr>
              <w:t xml:space="preserve">        └── UsuariosView.tsx</w:t>
            </w:r>
          </w:p>
        </w:tc>
      </w:tr>
    </w:tbl>
    <w:p>
      <w:pPr>
        <w:spacing w:after="0"/>
      </w:pPr>
    </w:p>
    <w:p>
      <w:pPr>
        <w:pStyle w:val="Heading2"/>
      </w:pPr>
      <w:r>
        <w:t>2.2 Carpetas principales</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1500"/>
        <w:gridCol w:w="3860"/>
        <w:gridCol w:w="4000"/>
      </w:tblGrid>
      <w:tr>
        <w:trPr>
          <w:tblHeader w:val="true"/>
        </w:trPr>
        <w:tc>
          <w:tcPr>
            <w:tcW w:type="dxa" w:w="1500"/>
            <w:tcMar>
              <w:top w:w="80" w:type="dxa"/>
              <w:start w:w="120" w:type="dxa"/>
              <w:bottom w:w="80" w:type="dxa"/>
              <w:end w:w="120" w:type="dxa"/>
            </w:tcMar>
            <w:vAlign w:val="center"/>
            <w:shd w:fill="082B66"/>
          </w:tcPr>
          <w:p>
            <w:pPr>
              <w:spacing w:after="0"/>
            </w:pPr>
            <w:r>
              <w:rPr>
                <w:rFonts w:ascii="Calibri" w:hAnsi="Calibri"/>
                <w:b/>
                <w:color w:val="FFFFFF"/>
                <w:sz w:val="16"/>
              </w:rPr>
              <w:t>CARPETA</w:t>
            </w:r>
          </w:p>
        </w:tc>
        <w:tc>
          <w:tcPr>
            <w:tcW w:type="dxa" w:w="3860"/>
            <w:tcMar>
              <w:top w:w="80" w:type="dxa"/>
              <w:start w:w="120" w:type="dxa"/>
              <w:bottom w:w="80" w:type="dxa"/>
              <w:end w:w="120" w:type="dxa"/>
            </w:tcMar>
            <w:vAlign w:val="center"/>
            <w:shd w:fill="082B66"/>
          </w:tcPr>
          <w:p>
            <w:pPr>
              <w:spacing w:after="0"/>
            </w:pPr>
            <w:r>
              <w:rPr>
                <w:rFonts w:ascii="Calibri" w:hAnsi="Calibri"/>
                <w:b/>
                <w:color w:val="FFFFFF"/>
                <w:sz w:val="16"/>
              </w:rPr>
              <w:t>CONTENIDO</w:t>
            </w:r>
          </w:p>
        </w:tc>
        <w:tc>
          <w:tcPr>
            <w:tcW w:type="dxa" w:w="4000"/>
            <w:tcMar>
              <w:top w:w="80" w:type="dxa"/>
              <w:start w:w="120" w:type="dxa"/>
              <w:bottom w:w="80" w:type="dxa"/>
              <w:end w:w="120" w:type="dxa"/>
            </w:tcMar>
            <w:vAlign w:val="center"/>
            <w:shd w:fill="082B66"/>
          </w:tcPr>
          <w:p>
            <w:pPr>
              <w:spacing w:after="0"/>
            </w:pPr>
            <w:r>
              <w:rPr>
                <w:rFonts w:ascii="Calibri" w:hAnsi="Calibri"/>
                <w:b/>
                <w:color w:val="FFFFFF"/>
                <w:sz w:val="16"/>
              </w:rPr>
              <w:t>CUÁNDO SE MODIFICA</w:t>
            </w:r>
          </w:p>
        </w:tc>
      </w:tr>
      <w:tr>
        <w:trPr>
          <w:cantSplit/>
        </w:trPr>
        <w:tc>
          <w:tcPr>
            <w:tcW w:type="dxa" w:w="1500"/>
          </w:tcPr>
          <w:p>
            <w:pPr>
              <w:spacing w:after="0" w:line="252" w:lineRule="auto"/>
            </w:pPr>
            <w:r>
              <w:rPr>
                <w:rFonts w:ascii="Calibri" w:hAnsi="Calibri"/>
                <w:color w:val="13233A"/>
                <w:sz w:val="18"/>
              </w:rPr>
              <w:t>views/</w:t>
            </w:r>
          </w:p>
        </w:tc>
        <w:tc>
          <w:tcPr>
            <w:tcW w:type="dxa" w:w="3860"/>
          </w:tcPr>
          <w:p>
            <w:pPr>
              <w:spacing w:after="0" w:line="252" w:lineRule="auto"/>
            </w:pPr>
            <w:r>
              <w:rPr>
                <w:rFonts w:ascii="Calibri" w:hAnsi="Calibri"/>
                <w:color w:val="13233A"/>
                <w:sz w:val="18"/>
              </w:rPr>
              <w:t>Pantallas y componentes React del dominio.</w:t>
            </w:r>
          </w:p>
        </w:tc>
        <w:tc>
          <w:tcPr>
            <w:tcW w:type="dxa" w:w="4000"/>
          </w:tcPr>
          <w:p>
            <w:pPr>
              <w:spacing w:after="0" w:line="252" w:lineRule="auto"/>
            </w:pPr>
            <w:r>
              <w:rPr>
                <w:rFonts w:ascii="Calibri" w:hAnsi="Calibri"/>
                <w:color w:val="13233A"/>
                <w:sz w:val="18"/>
              </w:rPr>
              <w:t>Al cambiar comportamiento o diseño de una pantalla.</w:t>
            </w:r>
          </w:p>
        </w:tc>
      </w:tr>
      <w:tr>
        <w:trPr>
          <w:cantSplit/>
        </w:trPr>
        <w:tc>
          <w:tcPr>
            <w:tcW w:type="dxa" w:w="1500"/>
          </w:tcPr>
          <w:p>
            <w:pPr>
              <w:spacing w:after="0" w:line="252" w:lineRule="auto"/>
            </w:pPr>
            <w:r>
              <w:rPr>
                <w:rFonts w:ascii="Calibri" w:hAnsi="Calibri"/>
                <w:color w:val="13233A"/>
                <w:sz w:val="18"/>
              </w:rPr>
              <w:t>services/</w:t>
            </w:r>
          </w:p>
        </w:tc>
        <w:tc>
          <w:tcPr>
            <w:tcW w:type="dxa" w:w="3860"/>
          </w:tcPr>
          <w:p>
            <w:pPr>
              <w:spacing w:after="0" w:line="252" w:lineRule="auto"/>
            </w:pPr>
            <w:r>
              <w:rPr>
                <w:rFonts w:ascii="Calibri" w:hAnsi="Calibri"/>
                <w:color w:val="13233A"/>
                <w:sz w:val="18"/>
              </w:rPr>
              <w:t>Clientes HTTP tipados para cada submódulo.</w:t>
            </w:r>
          </w:p>
        </w:tc>
        <w:tc>
          <w:tcPr>
            <w:tcW w:type="dxa" w:w="4000"/>
          </w:tcPr>
          <w:p>
            <w:pPr>
              <w:spacing w:after="0" w:line="252" w:lineRule="auto"/>
            </w:pPr>
            <w:r>
              <w:rPr>
                <w:rFonts w:ascii="Calibri" w:hAnsi="Calibri"/>
                <w:color w:val="13233A"/>
                <w:sz w:val="18"/>
              </w:rPr>
              <w:t>Al agregar/cambiar endpoints o payloads.</w:t>
            </w:r>
          </w:p>
        </w:tc>
      </w:tr>
      <w:tr>
        <w:trPr>
          <w:cantSplit/>
        </w:trPr>
        <w:tc>
          <w:tcPr>
            <w:tcW w:type="dxa" w:w="1500"/>
          </w:tcPr>
          <w:p>
            <w:pPr>
              <w:spacing w:after="0" w:line="252" w:lineRule="auto"/>
            </w:pPr>
            <w:r>
              <w:rPr>
                <w:rFonts w:ascii="Calibri" w:hAnsi="Calibri"/>
                <w:color w:val="13233A"/>
                <w:sz w:val="18"/>
              </w:rPr>
              <w:t>types/</w:t>
            </w:r>
          </w:p>
        </w:tc>
        <w:tc>
          <w:tcPr>
            <w:tcW w:type="dxa" w:w="3860"/>
          </w:tcPr>
          <w:p>
            <w:pPr>
              <w:spacing w:after="0" w:line="252" w:lineRule="auto"/>
            </w:pPr>
            <w:r>
              <w:rPr>
                <w:rFonts w:ascii="Calibri" w:hAnsi="Calibri"/>
                <w:color w:val="13233A"/>
                <w:sz w:val="18"/>
              </w:rPr>
              <w:t>Contratos TypeScript de dominio y API.</w:t>
            </w:r>
          </w:p>
        </w:tc>
        <w:tc>
          <w:tcPr>
            <w:tcW w:type="dxa" w:w="4000"/>
          </w:tcPr>
          <w:p>
            <w:pPr>
              <w:spacing w:after="0" w:line="252" w:lineRule="auto"/>
            </w:pPr>
            <w:r>
              <w:rPr>
                <w:rFonts w:ascii="Calibri" w:hAnsi="Calibri"/>
                <w:color w:val="13233A"/>
                <w:sz w:val="18"/>
              </w:rPr>
              <w:t>Al cambiar estructuras compartidas entre vistas.</w:t>
            </w:r>
          </w:p>
        </w:tc>
      </w:tr>
      <w:tr>
        <w:trPr>
          <w:cantSplit/>
        </w:trPr>
        <w:tc>
          <w:tcPr>
            <w:tcW w:type="dxa" w:w="1500"/>
          </w:tcPr>
          <w:p>
            <w:pPr>
              <w:spacing w:after="0" w:line="252" w:lineRule="auto"/>
            </w:pPr>
            <w:r>
              <w:rPr>
                <w:rFonts w:ascii="Calibri" w:hAnsi="Calibri"/>
                <w:color w:val="13233A"/>
                <w:sz w:val="18"/>
              </w:rPr>
              <w:t>utils/</w:t>
            </w:r>
          </w:p>
        </w:tc>
        <w:tc>
          <w:tcPr>
            <w:tcW w:type="dxa" w:w="3860"/>
          </w:tcPr>
          <w:p>
            <w:pPr>
              <w:spacing w:after="0" w:line="252" w:lineRule="auto"/>
            </w:pPr>
            <w:r>
              <w:rPr>
                <w:rFonts w:ascii="Calibri" w:hAnsi="Calibri"/>
                <w:color w:val="13233A"/>
                <w:sz w:val="18"/>
              </w:rPr>
              <w:t>Funciones puras de formato y exportación.</w:t>
            </w:r>
          </w:p>
        </w:tc>
        <w:tc>
          <w:tcPr>
            <w:tcW w:type="dxa" w:w="4000"/>
          </w:tcPr>
          <w:p>
            <w:pPr>
              <w:spacing w:after="0" w:line="252" w:lineRule="auto"/>
            </w:pPr>
            <w:r>
              <w:rPr>
                <w:rFonts w:ascii="Calibri" w:hAnsi="Calibri"/>
                <w:color w:val="13233A"/>
                <w:sz w:val="18"/>
              </w:rPr>
              <w:t>Cuando una capacidad se reutiliza en varias pantallas.</w:t>
            </w:r>
          </w:p>
        </w:tc>
      </w:tr>
    </w:tbl>
    <w:p>
      <w:pPr>
        <w:spacing w:after="0"/>
      </w:pPr>
    </w:p>
    <w:p>
      <w:pPr>
        <w:pStyle w:val="Heading2"/>
      </w:pPr>
      <w:r>
        <w:t>2.3 Pantallas y rutas</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2600"/>
        <w:gridCol w:w="2700"/>
        <w:gridCol w:w="4060"/>
      </w:tblGrid>
      <w:tr>
        <w:trPr>
          <w:tblHeader w:val="true"/>
        </w:trPr>
        <w:tc>
          <w:tcPr>
            <w:tcW w:type="dxa" w:w="2600"/>
            <w:tcMar>
              <w:top w:w="80" w:type="dxa"/>
              <w:start w:w="120" w:type="dxa"/>
              <w:bottom w:w="80" w:type="dxa"/>
              <w:end w:w="120" w:type="dxa"/>
            </w:tcMar>
            <w:vAlign w:val="center"/>
            <w:shd w:fill="082B66"/>
          </w:tcPr>
          <w:p>
            <w:pPr>
              <w:spacing w:after="0"/>
            </w:pPr>
            <w:r>
              <w:rPr>
                <w:rFonts w:ascii="Calibri" w:hAnsi="Calibri"/>
                <w:b/>
                <w:color w:val="FFFFFF"/>
                <w:sz w:val="16"/>
              </w:rPr>
              <w:t>RUTA DE UI</w:t>
            </w:r>
          </w:p>
        </w:tc>
        <w:tc>
          <w:tcPr>
            <w:tcW w:type="dxa" w:w="2700"/>
            <w:tcMar>
              <w:top w:w="80" w:type="dxa"/>
              <w:start w:w="120" w:type="dxa"/>
              <w:bottom w:w="80" w:type="dxa"/>
              <w:end w:w="120" w:type="dxa"/>
            </w:tcMar>
            <w:vAlign w:val="center"/>
            <w:shd w:fill="082B66"/>
          </w:tcPr>
          <w:p>
            <w:pPr>
              <w:spacing w:after="0"/>
            </w:pPr>
            <w:r>
              <w:rPr>
                <w:rFonts w:ascii="Calibri" w:hAnsi="Calibri"/>
                <w:b/>
                <w:color w:val="FFFFFF"/>
                <w:sz w:val="16"/>
              </w:rPr>
              <w:t>VISTA</w:t>
            </w:r>
          </w:p>
        </w:tc>
        <w:tc>
          <w:tcPr>
            <w:tcW w:type="dxa" w:w="4060"/>
            <w:tcMar>
              <w:top w:w="80" w:type="dxa"/>
              <w:start w:w="120" w:type="dxa"/>
              <w:bottom w:w="80" w:type="dxa"/>
              <w:end w:w="120" w:type="dxa"/>
            </w:tcMar>
            <w:vAlign w:val="center"/>
            <w:shd w:fill="082B66"/>
          </w:tcPr>
          <w:p>
            <w:pPr>
              <w:spacing w:after="0"/>
            </w:pPr>
            <w:r>
              <w:rPr>
                <w:rFonts w:ascii="Calibri" w:hAnsi="Calibri"/>
                <w:b/>
                <w:color w:val="FFFFFF"/>
                <w:sz w:val="16"/>
              </w:rPr>
              <w:t>PROPÓSITO</w:t>
            </w:r>
          </w:p>
        </w:tc>
      </w:tr>
      <w:tr>
        <w:trPr>
          <w:cantSplit/>
        </w:trPr>
        <w:tc>
          <w:tcPr>
            <w:tcW w:type="dxa" w:w="2600"/>
          </w:tcPr>
          <w:p>
            <w:pPr>
              <w:spacing w:after="0" w:line="252" w:lineRule="auto"/>
            </w:pPr>
            <w:r>
              <w:rPr>
                <w:rFonts w:ascii="Calibri" w:hAnsi="Calibri"/>
                <w:color w:val="13233A"/>
                <w:sz w:val="17"/>
              </w:rPr>
              <w:t>/faregas/inicio</w:t>
            </w:r>
          </w:p>
        </w:tc>
        <w:tc>
          <w:tcPr>
            <w:tcW w:type="dxa" w:w="2700"/>
          </w:tcPr>
          <w:p>
            <w:pPr>
              <w:spacing w:after="0" w:line="252" w:lineRule="auto"/>
            </w:pPr>
            <w:r>
              <w:rPr>
                <w:rFonts w:ascii="Calibri" w:hAnsi="Calibri"/>
                <w:color w:val="13233A"/>
                <w:sz w:val="17"/>
              </w:rPr>
              <w:t>InicioView.tsx</w:t>
            </w:r>
          </w:p>
        </w:tc>
        <w:tc>
          <w:tcPr>
            <w:tcW w:type="dxa" w:w="4060"/>
          </w:tcPr>
          <w:p>
            <w:pPr>
              <w:spacing w:after="0" w:line="252" w:lineRule="auto"/>
            </w:pPr>
            <w:r>
              <w:rPr>
                <w:rFonts w:ascii="Calibri" w:hAnsi="Calibri"/>
                <w:color w:val="13233A"/>
                <w:sz w:val="17"/>
              </w:rPr>
              <w:t>Panel e historial de borradores/certificados.</w:t>
            </w:r>
          </w:p>
        </w:tc>
      </w:tr>
      <w:tr>
        <w:trPr>
          <w:cantSplit/>
        </w:trPr>
        <w:tc>
          <w:tcPr>
            <w:tcW w:type="dxa" w:w="2600"/>
          </w:tcPr>
          <w:p>
            <w:pPr>
              <w:spacing w:after="0" w:line="252" w:lineRule="auto"/>
            </w:pPr>
            <w:r>
              <w:rPr>
                <w:rFonts w:ascii="Calibri" w:hAnsi="Calibri"/>
                <w:color w:val="13233A"/>
                <w:sz w:val="17"/>
              </w:rPr>
              <w:t>/faregas/certificados/nuevo</w:t>
            </w:r>
          </w:p>
        </w:tc>
        <w:tc>
          <w:tcPr>
            <w:tcW w:type="dxa" w:w="2700"/>
          </w:tcPr>
          <w:p>
            <w:pPr>
              <w:spacing w:after="0" w:line="252" w:lineRule="auto"/>
            </w:pPr>
            <w:r>
              <w:rPr>
                <w:rFonts w:ascii="Calibri" w:hAnsi="Calibri"/>
                <w:color w:val="13233A"/>
                <w:sz w:val="17"/>
              </w:rPr>
              <w:t>NuevoCertificadoView.tsx</w:t>
            </w:r>
          </w:p>
        </w:tc>
        <w:tc>
          <w:tcPr>
            <w:tcW w:type="dxa" w:w="4060"/>
          </w:tcPr>
          <w:p>
            <w:pPr>
              <w:spacing w:after="0" w:line="252" w:lineRule="auto"/>
            </w:pPr>
            <w:r>
              <w:rPr>
                <w:rFonts w:ascii="Calibri" w:hAnsi="Calibri"/>
                <w:color w:val="13233A"/>
                <w:sz w:val="17"/>
              </w:rPr>
              <w:t>Crea el expediente y dirige el wizard.</w:t>
            </w:r>
          </w:p>
        </w:tc>
      </w:tr>
      <w:tr>
        <w:trPr>
          <w:cantSplit/>
        </w:trPr>
        <w:tc>
          <w:tcPr>
            <w:tcW w:type="dxa" w:w="2600"/>
          </w:tcPr>
          <w:p>
            <w:pPr>
              <w:spacing w:after="0" w:line="252" w:lineRule="auto"/>
            </w:pPr>
            <w:r>
              <w:rPr>
                <w:rFonts w:ascii="Calibri" w:hAnsi="Calibri"/>
                <w:color w:val="13233A"/>
                <w:sz w:val="17"/>
              </w:rPr>
              <w:t>/faregas/certificados/:id/continuar</w:t>
            </w:r>
          </w:p>
        </w:tc>
        <w:tc>
          <w:tcPr>
            <w:tcW w:type="dxa" w:w="2700"/>
          </w:tcPr>
          <w:p>
            <w:pPr>
              <w:spacing w:after="0" w:line="252" w:lineRule="auto"/>
            </w:pPr>
            <w:r>
              <w:rPr>
                <w:rFonts w:ascii="Calibri" w:hAnsi="Calibri"/>
                <w:color w:val="13233A"/>
                <w:sz w:val="17"/>
              </w:rPr>
              <w:t>NuevoCertificadoView.tsx</w:t>
            </w:r>
          </w:p>
        </w:tc>
        <w:tc>
          <w:tcPr>
            <w:tcW w:type="dxa" w:w="4060"/>
          </w:tcPr>
          <w:p>
            <w:pPr>
              <w:spacing w:after="0" w:line="252" w:lineRule="auto"/>
            </w:pPr>
            <w:r>
              <w:rPr>
                <w:rFonts w:ascii="Calibri" w:hAnsi="Calibri"/>
                <w:color w:val="13233A"/>
                <w:sz w:val="17"/>
              </w:rPr>
              <w:t>Reanuda un borrador persistente.</w:t>
            </w:r>
          </w:p>
        </w:tc>
      </w:tr>
      <w:tr>
        <w:trPr>
          <w:cantSplit/>
        </w:trPr>
        <w:tc>
          <w:tcPr>
            <w:tcW w:type="dxa" w:w="2600"/>
          </w:tcPr>
          <w:p>
            <w:pPr>
              <w:spacing w:after="0" w:line="252" w:lineRule="auto"/>
            </w:pPr>
            <w:r>
              <w:rPr>
                <w:rFonts w:ascii="Calibri" w:hAnsi="Calibri"/>
                <w:color w:val="13233A"/>
                <w:sz w:val="17"/>
              </w:rPr>
              <w:t>/faregas/usuarios</w:t>
            </w:r>
          </w:p>
        </w:tc>
        <w:tc>
          <w:tcPr>
            <w:tcW w:type="dxa" w:w="2700"/>
          </w:tcPr>
          <w:p>
            <w:pPr>
              <w:spacing w:after="0" w:line="252" w:lineRule="auto"/>
            </w:pPr>
            <w:r>
              <w:rPr>
                <w:rFonts w:ascii="Calibri" w:hAnsi="Calibri"/>
                <w:color w:val="13233A"/>
                <w:sz w:val="17"/>
              </w:rPr>
              <w:t>UsuariosView.tsx</w:t>
            </w:r>
          </w:p>
        </w:tc>
        <w:tc>
          <w:tcPr>
            <w:tcW w:type="dxa" w:w="4060"/>
          </w:tcPr>
          <w:p>
            <w:pPr>
              <w:spacing w:after="0" w:line="252" w:lineRule="auto"/>
            </w:pPr>
            <w:r>
              <w:rPr>
                <w:rFonts w:ascii="Calibri" w:hAnsi="Calibri"/>
                <w:color w:val="13233A"/>
                <w:sz w:val="17"/>
              </w:rPr>
              <w:t>Usuarios, perfiles y permisos.</w:t>
            </w:r>
          </w:p>
        </w:tc>
      </w:tr>
      <w:tr>
        <w:trPr>
          <w:cantSplit/>
        </w:trPr>
        <w:tc>
          <w:tcPr>
            <w:tcW w:type="dxa" w:w="2600"/>
          </w:tcPr>
          <w:p>
            <w:pPr>
              <w:spacing w:after="0" w:line="252" w:lineRule="auto"/>
            </w:pPr>
            <w:r>
              <w:rPr>
                <w:rFonts w:ascii="Calibri" w:hAnsi="Calibri"/>
                <w:color w:val="13233A"/>
                <w:sz w:val="17"/>
              </w:rPr>
              <w:t>/faregas/auditoria</w:t>
            </w:r>
          </w:p>
        </w:tc>
        <w:tc>
          <w:tcPr>
            <w:tcW w:type="dxa" w:w="2700"/>
          </w:tcPr>
          <w:p>
            <w:pPr>
              <w:spacing w:after="0" w:line="252" w:lineRule="auto"/>
            </w:pPr>
            <w:r>
              <w:rPr>
                <w:rFonts w:ascii="Calibri" w:hAnsi="Calibri"/>
                <w:color w:val="13233A"/>
                <w:sz w:val="17"/>
              </w:rPr>
              <w:t>AuditoriaView.tsx</w:t>
            </w:r>
          </w:p>
        </w:tc>
        <w:tc>
          <w:tcPr>
            <w:tcW w:type="dxa" w:w="4060"/>
          </w:tcPr>
          <w:p>
            <w:pPr>
              <w:spacing w:after="0" w:line="252" w:lineRule="auto"/>
            </w:pPr>
            <w:r>
              <w:rPr>
                <w:rFonts w:ascii="Calibri" w:hAnsi="Calibri"/>
                <w:color w:val="13233A"/>
                <w:sz w:val="17"/>
              </w:rPr>
              <w:t>Trazabilidad por módulo y usuario.</w:t>
            </w:r>
          </w:p>
        </w:tc>
      </w:tr>
      <w:tr>
        <w:trPr>
          <w:cantSplit/>
        </w:trPr>
        <w:tc>
          <w:tcPr>
            <w:tcW w:type="dxa" w:w="2600"/>
          </w:tcPr>
          <w:p>
            <w:pPr>
              <w:spacing w:after="0" w:line="252" w:lineRule="auto"/>
            </w:pPr>
            <w:r>
              <w:rPr>
                <w:rFonts w:ascii="Calibri" w:hAnsi="Calibri"/>
                <w:color w:val="13233A"/>
                <w:sz w:val="17"/>
              </w:rPr>
              <w:t>/faregas/descuentos</w:t>
            </w:r>
          </w:p>
        </w:tc>
        <w:tc>
          <w:tcPr>
            <w:tcW w:type="dxa" w:w="2700"/>
          </w:tcPr>
          <w:p>
            <w:pPr>
              <w:spacing w:after="0" w:line="252" w:lineRule="auto"/>
            </w:pPr>
            <w:r>
              <w:rPr>
                <w:rFonts w:ascii="Calibri" w:hAnsi="Calibri"/>
                <w:color w:val="13233A"/>
                <w:sz w:val="17"/>
              </w:rPr>
              <w:t>DescuentosView.tsx</w:t>
            </w:r>
          </w:p>
        </w:tc>
        <w:tc>
          <w:tcPr>
            <w:tcW w:type="dxa" w:w="4060"/>
          </w:tcPr>
          <w:p>
            <w:pPr>
              <w:spacing w:after="0" w:line="252" w:lineRule="auto"/>
            </w:pPr>
            <w:r>
              <w:rPr>
                <w:rFonts w:ascii="Calibri" w:hAnsi="Calibri"/>
                <w:color w:val="13233A"/>
                <w:sz w:val="17"/>
              </w:rPr>
              <w:t>Campañas, reglas y códigos.</w:t>
            </w:r>
          </w:p>
        </w:tc>
      </w:tr>
      <w:tr>
        <w:trPr>
          <w:cantSplit/>
        </w:trPr>
        <w:tc>
          <w:tcPr>
            <w:tcW w:type="dxa" w:w="2600"/>
          </w:tcPr>
          <w:p>
            <w:pPr>
              <w:spacing w:after="0" w:line="252" w:lineRule="auto"/>
            </w:pPr>
            <w:r>
              <w:rPr>
                <w:rFonts w:ascii="Calibri" w:hAnsi="Calibri"/>
                <w:color w:val="13233A"/>
                <w:sz w:val="17"/>
              </w:rPr>
              <w:t>/faregas/configuracion</w:t>
            </w:r>
          </w:p>
        </w:tc>
        <w:tc>
          <w:tcPr>
            <w:tcW w:type="dxa" w:w="2700"/>
          </w:tcPr>
          <w:p>
            <w:pPr>
              <w:spacing w:after="0" w:line="252" w:lineRule="auto"/>
            </w:pPr>
            <w:r>
              <w:rPr>
                <w:rFonts w:ascii="Calibri" w:hAnsi="Calibri"/>
                <w:color w:val="13233A"/>
                <w:sz w:val="17"/>
              </w:rPr>
              <w:t>FaregasConfiguracionView.tsx</w:t>
            </w:r>
          </w:p>
        </w:tc>
        <w:tc>
          <w:tcPr>
            <w:tcW w:type="dxa" w:w="4060"/>
          </w:tcPr>
          <w:p>
            <w:pPr>
              <w:spacing w:after="0" w:line="252" w:lineRule="auto"/>
            </w:pPr>
            <w:r>
              <w:rPr>
                <w:rFonts w:ascii="Calibri" w:hAnsi="Calibri"/>
                <w:color w:val="13233A"/>
                <w:sz w:val="17"/>
              </w:rPr>
              <w:t>Sedes, catálogo, facturación, correlativos y empresas.</w:t>
            </w:r>
          </w:p>
        </w:tc>
      </w:tr>
    </w:tbl>
    <w:p>
      <w:pPr>
        <w:spacing w:after="0"/>
      </w:pPr>
    </w:p>
    <w:p>
      <w:pPr>
        <w:pStyle w:val="Heading2"/>
      </w:pPr>
      <w:r>
        <w:t>2.4 Wizard Nuevo Certificado</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900"/>
        <w:gridCol w:w="2800"/>
        <w:gridCol w:w="5660"/>
      </w:tblGrid>
      <w:tr>
        <w:trPr>
          <w:tblHeader w:val="true"/>
        </w:trPr>
        <w:tc>
          <w:tcPr>
            <w:tcW w:type="dxa" w:w="900"/>
            <w:tcMar>
              <w:top w:w="80" w:type="dxa"/>
              <w:start w:w="120" w:type="dxa"/>
              <w:bottom w:w="80" w:type="dxa"/>
              <w:end w:w="120" w:type="dxa"/>
            </w:tcMar>
            <w:vAlign w:val="center"/>
            <w:shd w:fill="082B66"/>
          </w:tcPr>
          <w:p>
            <w:pPr>
              <w:spacing w:after="0"/>
            </w:pPr>
            <w:r>
              <w:rPr>
                <w:rFonts w:ascii="Calibri" w:hAnsi="Calibri"/>
                <w:b/>
                <w:color w:val="FFFFFF"/>
                <w:sz w:val="16"/>
              </w:rPr>
              <w:t>ORDEN</w:t>
            </w:r>
          </w:p>
        </w:tc>
        <w:tc>
          <w:tcPr>
            <w:tcW w:type="dxa" w:w="2800"/>
            <w:tcMar>
              <w:top w:w="80" w:type="dxa"/>
              <w:start w:w="120" w:type="dxa"/>
              <w:bottom w:w="80" w:type="dxa"/>
              <w:end w:w="120" w:type="dxa"/>
            </w:tcMar>
            <w:vAlign w:val="center"/>
            <w:shd w:fill="082B66"/>
          </w:tcPr>
          <w:p>
            <w:pPr>
              <w:spacing w:after="0"/>
            </w:pPr>
            <w:r>
              <w:rPr>
                <w:rFonts w:ascii="Calibri" w:hAnsi="Calibri"/>
                <w:b/>
                <w:color w:val="FFFFFF"/>
                <w:sz w:val="16"/>
              </w:rPr>
              <w:t>COMPONENTE</w:t>
            </w:r>
          </w:p>
        </w:tc>
        <w:tc>
          <w:tcPr>
            <w:tcW w:type="dxa" w:w="5660"/>
            <w:tcMar>
              <w:top w:w="80" w:type="dxa"/>
              <w:start w:w="120" w:type="dxa"/>
              <w:bottom w:w="80" w:type="dxa"/>
              <w:end w:w="120" w:type="dxa"/>
            </w:tcMar>
            <w:vAlign w:val="center"/>
            <w:shd w:fill="082B66"/>
          </w:tcPr>
          <w:p>
            <w:pPr>
              <w:spacing w:after="0"/>
            </w:pPr>
            <w:r>
              <w:rPr>
                <w:rFonts w:ascii="Calibri" w:hAnsi="Calibri"/>
                <w:b/>
                <w:color w:val="FFFFFF"/>
                <w:sz w:val="16"/>
              </w:rPr>
              <w:t>RESPONSABILIDAD</w:t>
            </w:r>
          </w:p>
        </w:tc>
      </w:tr>
      <w:tr>
        <w:trPr>
          <w:cantSplit/>
        </w:trPr>
        <w:tc>
          <w:tcPr>
            <w:tcW w:type="dxa" w:w="900"/>
          </w:tcPr>
          <w:p>
            <w:pPr>
              <w:spacing w:after="0" w:line="252" w:lineRule="auto"/>
            </w:pPr>
            <w:r>
              <w:rPr>
                <w:rFonts w:ascii="Calibri" w:hAnsi="Calibri"/>
                <w:color w:val="13233A"/>
                <w:sz w:val="18"/>
              </w:rPr>
              <w:t>1</w:t>
            </w:r>
          </w:p>
        </w:tc>
        <w:tc>
          <w:tcPr>
            <w:tcW w:type="dxa" w:w="2800"/>
          </w:tcPr>
          <w:p>
            <w:pPr>
              <w:spacing w:after="0" w:line="252" w:lineRule="auto"/>
            </w:pPr>
            <w:r>
              <w:rPr>
                <w:rFonts w:ascii="Calibri" w:hAnsi="Calibri"/>
                <w:color w:val="13233A"/>
                <w:sz w:val="18"/>
              </w:rPr>
              <w:t>CajaStep</w:t>
            </w:r>
          </w:p>
        </w:tc>
        <w:tc>
          <w:tcPr>
            <w:tcW w:type="dxa" w:w="5660"/>
          </w:tcPr>
          <w:p>
            <w:pPr>
              <w:spacing w:after="0" w:line="252" w:lineRule="auto"/>
            </w:pPr>
            <w:r>
              <w:rPr>
                <w:rFonts w:ascii="Calibri" w:hAnsi="Calibri"/>
                <w:color w:val="13233A"/>
                <w:sz w:val="18"/>
              </w:rPr>
              <w:t>Servicio por sede, placa, categoría, consulta y descuento.</w:t>
            </w:r>
          </w:p>
        </w:tc>
      </w:tr>
      <w:tr>
        <w:trPr>
          <w:cantSplit/>
        </w:trPr>
        <w:tc>
          <w:tcPr>
            <w:tcW w:type="dxa" w:w="900"/>
          </w:tcPr>
          <w:p>
            <w:pPr>
              <w:spacing w:after="0" w:line="252" w:lineRule="auto"/>
            </w:pPr>
            <w:r>
              <w:rPr>
                <w:rFonts w:ascii="Calibri" w:hAnsi="Calibri"/>
                <w:color w:val="13233A"/>
                <w:sz w:val="18"/>
              </w:rPr>
              <w:t>2</w:t>
            </w:r>
          </w:p>
        </w:tc>
        <w:tc>
          <w:tcPr>
            <w:tcW w:type="dxa" w:w="2800"/>
          </w:tcPr>
          <w:p>
            <w:pPr>
              <w:spacing w:after="0" w:line="252" w:lineRule="auto"/>
            </w:pPr>
            <w:r>
              <w:rPr>
                <w:rFonts w:ascii="Calibri" w:hAnsi="Calibri"/>
                <w:color w:val="13233A"/>
                <w:sz w:val="18"/>
              </w:rPr>
              <w:t>PagoStep</w:t>
            </w:r>
          </w:p>
        </w:tc>
        <w:tc>
          <w:tcPr>
            <w:tcW w:type="dxa" w:w="5660"/>
          </w:tcPr>
          <w:p>
            <w:pPr>
              <w:spacing w:after="0" w:line="252" w:lineRule="auto"/>
            </w:pPr>
            <w:r>
              <w:rPr>
                <w:rFonts w:ascii="Calibri" w:hAnsi="Calibri"/>
                <w:color w:val="13233A"/>
                <w:sz w:val="18"/>
              </w:rPr>
              <w:t>Orden y medios de pago.</w:t>
            </w:r>
          </w:p>
        </w:tc>
      </w:tr>
      <w:tr>
        <w:trPr>
          <w:cantSplit/>
        </w:trPr>
        <w:tc>
          <w:tcPr>
            <w:tcW w:type="dxa" w:w="900"/>
          </w:tcPr>
          <w:p>
            <w:pPr>
              <w:spacing w:after="0" w:line="252" w:lineRule="auto"/>
            </w:pPr>
            <w:r>
              <w:rPr>
                <w:rFonts w:ascii="Calibri" w:hAnsi="Calibri"/>
                <w:color w:val="13233A"/>
                <w:sz w:val="18"/>
              </w:rPr>
              <w:t>3</w:t>
            </w:r>
          </w:p>
        </w:tc>
        <w:tc>
          <w:tcPr>
            <w:tcW w:type="dxa" w:w="2800"/>
          </w:tcPr>
          <w:p>
            <w:pPr>
              <w:spacing w:after="0" w:line="252" w:lineRule="auto"/>
            </w:pPr>
            <w:r>
              <w:rPr>
                <w:rFonts w:ascii="Calibri" w:hAnsi="Calibri"/>
                <w:color w:val="13233A"/>
                <w:sz w:val="18"/>
              </w:rPr>
              <w:t>VehiculoStep</w:t>
            </w:r>
          </w:p>
        </w:tc>
        <w:tc>
          <w:tcPr>
            <w:tcW w:type="dxa" w:w="5660"/>
          </w:tcPr>
          <w:p>
            <w:pPr>
              <w:spacing w:after="0" w:line="252" w:lineRule="auto"/>
            </w:pPr>
            <w:r>
              <w:rPr>
                <w:rFonts w:ascii="Calibri" w:hAnsi="Calibri"/>
                <w:color w:val="13233A"/>
                <w:sz w:val="18"/>
              </w:rPr>
              <w:t>Vehículo, titulares y expediente GLP/GNV/conformidad.</w:t>
            </w:r>
          </w:p>
        </w:tc>
      </w:tr>
      <w:tr>
        <w:trPr>
          <w:cantSplit/>
        </w:trPr>
        <w:tc>
          <w:tcPr>
            <w:tcW w:type="dxa" w:w="900"/>
          </w:tcPr>
          <w:p>
            <w:pPr>
              <w:spacing w:after="0" w:line="252" w:lineRule="auto"/>
            </w:pPr>
            <w:r>
              <w:rPr>
                <w:rFonts w:ascii="Calibri" w:hAnsi="Calibri"/>
                <w:color w:val="13233A"/>
                <w:sz w:val="18"/>
              </w:rPr>
              <w:t>4</w:t>
            </w:r>
          </w:p>
        </w:tc>
        <w:tc>
          <w:tcPr>
            <w:tcW w:type="dxa" w:w="2800"/>
          </w:tcPr>
          <w:p>
            <w:pPr>
              <w:spacing w:after="0" w:line="252" w:lineRule="auto"/>
            </w:pPr>
            <w:r>
              <w:rPr>
                <w:rFonts w:ascii="Calibri" w:hAnsi="Calibri"/>
                <w:color w:val="13233A"/>
                <w:sz w:val="18"/>
              </w:rPr>
              <w:t>FacturacionStep</w:t>
            </w:r>
          </w:p>
        </w:tc>
        <w:tc>
          <w:tcPr>
            <w:tcW w:type="dxa" w:w="5660"/>
          </w:tcPr>
          <w:p>
            <w:pPr>
              <w:spacing w:after="0" w:line="252" w:lineRule="auto"/>
            </w:pPr>
            <w:r>
              <w:rPr>
                <w:rFonts w:ascii="Calibri" w:hAnsi="Calibri"/>
                <w:color w:val="13233A"/>
                <w:sz w:val="18"/>
              </w:rPr>
              <w:t>Datos del adquirente y comprobante.</w:t>
            </w:r>
          </w:p>
        </w:tc>
      </w:tr>
      <w:tr>
        <w:trPr>
          <w:cantSplit/>
        </w:trPr>
        <w:tc>
          <w:tcPr>
            <w:tcW w:type="dxa" w:w="900"/>
          </w:tcPr>
          <w:p>
            <w:pPr>
              <w:spacing w:after="0" w:line="252" w:lineRule="auto"/>
            </w:pPr>
            <w:r>
              <w:rPr>
                <w:rFonts w:ascii="Calibri" w:hAnsi="Calibri"/>
                <w:color w:val="13233A"/>
                <w:sz w:val="18"/>
              </w:rPr>
              <w:t>5</w:t>
            </w:r>
          </w:p>
        </w:tc>
        <w:tc>
          <w:tcPr>
            <w:tcW w:type="dxa" w:w="2800"/>
          </w:tcPr>
          <w:p>
            <w:pPr>
              <w:spacing w:after="0" w:line="252" w:lineRule="auto"/>
            </w:pPr>
            <w:r>
              <w:rPr>
                <w:rFonts w:ascii="Calibri" w:hAnsi="Calibri"/>
                <w:color w:val="13233A"/>
                <w:sz w:val="18"/>
              </w:rPr>
              <w:t>PrevisualizacionCertificadoStep</w:t>
            </w:r>
          </w:p>
        </w:tc>
        <w:tc>
          <w:tcPr>
            <w:tcW w:type="dxa" w:w="5660"/>
          </w:tcPr>
          <w:p>
            <w:pPr>
              <w:spacing w:after="0" w:line="252" w:lineRule="auto"/>
            </w:pPr>
            <w:r>
              <w:rPr>
                <w:rFonts w:ascii="Calibri" w:hAnsi="Calibri"/>
                <w:color w:val="13233A"/>
                <w:sz w:val="18"/>
              </w:rPr>
              <w:t>HTML de borrador con marca de previsualización.</w:t>
            </w:r>
          </w:p>
        </w:tc>
      </w:tr>
      <w:tr>
        <w:trPr>
          <w:cantSplit/>
        </w:trPr>
        <w:tc>
          <w:tcPr>
            <w:tcW w:type="dxa" w:w="900"/>
          </w:tcPr>
          <w:p>
            <w:pPr>
              <w:spacing w:after="0" w:line="252" w:lineRule="auto"/>
            </w:pPr>
            <w:r>
              <w:rPr>
                <w:rFonts w:ascii="Calibri" w:hAnsi="Calibri"/>
                <w:color w:val="13233A"/>
                <w:sz w:val="18"/>
              </w:rPr>
              <w:t>6</w:t>
            </w:r>
          </w:p>
        </w:tc>
        <w:tc>
          <w:tcPr>
            <w:tcW w:type="dxa" w:w="2800"/>
          </w:tcPr>
          <w:p>
            <w:pPr>
              <w:spacing w:after="0" w:line="252" w:lineRule="auto"/>
            </w:pPr>
            <w:r>
              <w:rPr>
                <w:rFonts w:ascii="Calibri" w:hAnsi="Calibri"/>
                <w:color w:val="13233A"/>
                <w:sz w:val="18"/>
              </w:rPr>
              <w:t>VerificacionStep / EmisionStep</w:t>
            </w:r>
          </w:p>
        </w:tc>
        <w:tc>
          <w:tcPr>
            <w:tcW w:type="dxa" w:w="5660"/>
          </w:tcPr>
          <w:p>
            <w:pPr>
              <w:spacing w:after="0" w:line="252" w:lineRule="auto"/>
            </w:pPr>
            <w:r>
              <w:rPr>
                <w:rFonts w:ascii="Calibri" w:hAnsi="Calibri"/>
                <w:color w:val="13233A"/>
                <w:sz w:val="18"/>
              </w:rPr>
              <w:t>Validación final, consumo de correlativo y emisión.</w:t>
            </w:r>
          </w:p>
        </w:tc>
      </w:tr>
    </w:tbl>
    <w:p>
      <w:pPr>
        <w:spacing w:after="0"/>
      </w:pPr>
    </w:p>
    <w:p>
      <w:pPr>
        <w:pStyle w:val="Heading2"/>
      </w:pPr>
      <w:r>
        <w:t>2.5 Inventario de archivos frontend</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3300"/>
        <w:gridCol w:w="1200"/>
        <w:gridCol w:w="4860"/>
      </w:tblGrid>
      <w:tr>
        <w:trPr>
          <w:tblHeader w:val="true"/>
        </w:trPr>
        <w:tc>
          <w:tcPr>
            <w:tcW w:type="dxa" w:w="3300"/>
            <w:tcMar>
              <w:top w:w="80" w:type="dxa"/>
              <w:start w:w="120" w:type="dxa"/>
              <w:bottom w:w="80" w:type="dxa"/>
              <w:end w:w="120" w:type="dxa"/>
            </w:tcMar>
            <w:vAlign w:val="center"/>
            <w:shd w:fill="082B66"/>
          </w:tcPr>
          <w:p>
            <w:pPr>
              <w:spacing w:after="0"/>
            </w:pPr>
            <w:r>
              <w:rPr>
                <w:rFonts w:ascii="Calibri" w:hAnsi="Calibri"/>
                <w:b/>
                <w:color w:val="FFFFFF"/>
                <w:sz w:val="16"/>
              </w:rPr>
              <w:t>ARCHIVO</w:t>
            </w:r>
          </w:p>
        </w:tc>
        <w:tc>
          <w:tcPr>
            <w:tcW w:type="dxa" w:w="1200"/>
            <w:tcMar>
              <w:top w:w="80" w:type="dxa"/>
              <w:start w:w="120" w:type="dxa"/>
              <w:bottom w:w="80" w:type="dxa"/>
              <w:end w:w="120" w:type="dxa"/>
            </w:tcMar>
            <w:vAlign w:val="center"/>
            <w:shd w:fill="082B66"/>
          </w:tcPr>
          <w:p>
            <w:pPr>
              <w:spacing w:after="0"/>
            </w:pPr>
            <w:r>
              <w:rPr>
                <w:rFonts w:ascii="Calibri" w:hAnsi="Calibri"/>
                <w:b/>
                <w:color w:val="FFFFFF"/>
                <w:sz w:val="16"/>
              </w:rPr>
              <w:t>ÁREA</w:t>
            </w:r>
          </w:p>
        </w:tc>
        <w:tc>
          <w:tcPr>
            <w:tcW w:type="dxa" w:w="4860"/>
            <w:tcMar>
              <w:top w:w="80" w:type="dxa"/>
              <w:start w:w="120" w:type="dxa"/>
              <w:bottom w:w="80" w:type="dxa"/>
              <w:end w:w="120" w:type="dxa"/>
            </w:tcMar>
            <w:vAlign w:val="center"/>
            <w:shd w:fill="082B66"/>
          </w:tcPr>
          <w:p>
            <w:pPr>
              <w:spacing w:after="0"/>
            </w:pPr>
            <w:r>
              <w:rPr>
                <w:rFonts w:ascii="Calibri" w:hAnsi="Calibri"/>
                <w:b/>
                <w:color w:val="FFFFFF"/>
                <w:sz w:val="16"/>
              </w:rPr>
              <w:t>RESPONSABILIDAD</w:t>
            </w:r>
          </w:p>
        </w:tc>
      </w:tr>
      <w:tr>
        <w:trPr>
          <w:cantSplit/>
        </w:trPr>
        <w:tc>
          <w:tcPr>
            <w:tcW w:type="dxa" w:w="3300"/>
          </w:tcPr>
          <w:p>
            <w:pPr>
              <w:spacing w:after="0" w:line="252" w:lineRule="auto"/>
            </w:pPr>
            <w:r>
              <w:rPr>
                <w:rFonts w:ascii="Calibri" w:hAnsi="Calibri"/>
                <w:color w:val="13233A"/>
                <w:sz w:val="15"/>
              </w:rPr>
              <w:t>services/faregas-auditoria.api.ts</w:t>
            </w:r>
          </w:p>
        </w:tc>
        <w:tc>
          <w:tcPr>
            <w:tcW w:type="dxa" w:w="1200"/>
          </w:tcPr>
          <w:p>
            <w:pPr>
              <w:spacing w:after="0" w:line="252" w:lineRule="auto"/>
            </w:pPr>
            <w:r>
              <w:rPr>
                <w:rFonts w:ascii="Calibri" w:hAnsi="Calibri"/>
                <w:color w:val="13233A"/>
                <w:sz w:val="15"/>
              </w:rPr>
              <w:t>services</w:t>
            </w:r>
          </w:p>
        </w:tc>
        <w:tc>
          <w:tcPr>
            <w:tcW w:type="dxa" w:w="4860"/>
          </w:tcPr>
          <w:p>
            <w:pPr>
              <w:spacing w:after="0" w:line="252" w:lineRule="auto"/>
            </w:pPr>
            <w:r>
              <w:rPr>
                <w:rFonts w:ascii="Calibri" w:hAnsi="Calibri"/>
                <w:color w:val="13233A"/>
                <w:sz w:val="15"/>
              </w:rPr>
              <w:t>Cliente tipado de endpoints de auditoria; traduce acciones de la pantalla a requests HTTP.</w:t>
            </w:r>
          </w:p>
        </w:tc>
      </w:tr>
      <w:tr>
        <w:trPr>
          <w:cantSplit/>
        </w:trPr>
        <w:tc>
          <w:tcPr>
            <w:tcW w:type="dxa" w:w="3300"/>
          </w:tcPr>
          <w:p>
            <w:pPr>
              <w:spacing w:after="0" w:line="252" w:lineRule="auto"/>
            </w:pPr>
            <w:r>
              <w:rPr>
                <w:rFonts w:ascii="Calibri" w:hAnsi="Calibri"/>
                <w:color w:val="13233A"/>
                <w:sz w:val="15"/>
              </w:rPr>
              <w:t>services/faregas-certificados.api.ts</w:t>
            </w:r>
          </w:p>
        </w:tc>
        <w:tc>
          <w:tcPr>
            <w:tcW w:type="dxa" w:w="1200"/>
          </w:tcPr>
          <w:p>
            <w:pPr>
              <w:spacing w:after="0" w:line="252" w:lineRule="auto"/>
            </w:pPr>
            <w:r>
              <w:rPr>
                <w:rFonts w:ascii="Calibri" w:hAnsi="Calibri"/>
                <w:color w:val="13233A"/>
                <w:sz w:val="15"/>
              </w:rPr>
              <w:t>services</w:t>
            </w:r>
          </w:p>
        </w:tc>
        <w:tc>
          <w:tcPr>
            <w:tcW w:type="dxa" w:w="4860"/>
          </w:tcPr>
          <w:p>
            <w:pPr>
              <w:spacing w:after="0" w:line="252" w:lineRule="auto"/>
            </w:pPr>
            <w:r>
              <w:rPr>
                <w:rFonts w:ascii="Calibri" w:hAnsi="Calibri"/>
                <w:color w:val="13233A"/>
                <w:sz w:val="15"/>
              </w:rPr>
              <w:t>Cliente tipado de endpoints de certificados; traduce acciones de la pantalla a requests HTTP.</w:t>
            </w:r>
          </w:p>
        </w:tc>
      </w:tr>
      <w:tr>
        <w:trPr>
          <w:cantSplit/>
        </w:trPr>
        <w:tc>
          <w:tcPr>
            <w:tcW w:type="dxa" w:w="3300"/>
          </w:tcPr>
          <w:p>
            <w:pPr>
              <w:spacing w:after="0" w:line="252" w:lineRule="auto"/>
            </w:pPr>
            <w:r>
              <w:rPr>
                <w:rFonts w:ascii="Calibri" w:hAnsi="Calibri"/>
                <w:color w:val="13233A"/>
                <w:sz w:val="15"/>
              </w:rPr>
              <w:t>services/faregas-clientes.api.ts</w:t>
            </w:r>
          </w:p>
        </w:tc>
        <w:tc>
          <w:tcPr>
            <w:tcW w:type="dxa" w:w="1200"/>
          </w:tcPr>
          <w:p>
            <w:pPr>
              <w:spacing w:after="0" w:line="252" w:lineRule="auto"/>
            </w:pPr>
            <w:r>
              <w:rPr>
                <w:rFonts w:ascii="Calibri" w:hAnsi="Calibri"/>
                <w:color w:val="13233A"/>
                <w:sz w:val="15"/>
              </w:rPr>
              <w:t>services</w:t>
            </w:r>
          </w:p>
        </w:tc>
        <w:tc>
          <w:tcPr>
            <w:tcW w:type="dxa" w:w="4860"/>
          </w:tcPr>
          <w:p>
            <w:pPr>
              <w:spacing w:after="0" w:line="252" w:lineRule="auto"/>
            </w:pPr>
            <w:r>
              <w:rPr>
                <w:rFonts w:ascii="Calibri" w:hAnsi="Calibri"/>
                <w:color w:val="13233A"/>
                <w:sz w:val="15"/>
              </w:rPr>
              <w:t>Cliente tipado de endpoints de clientes; traduce acciones de la pantalla a requests HTTP.</w:t>
            </w:r>
          </w:p>
        </w:tc>
      </w:tr>
      <w:tr>
        <w:trPr>
          <w:cantSplit/>
        </w:trPr>
        <w:tc>
          <w:tcPr>
            <w:tcW w:type="dxa" w:w="3300"/>
          </w:tcPr>
          <w:p>
            <w:pPr>
              <w:spacing w:after="0" w:line="252" w:lineRule="auto"/>
            </w:pPr>
            <w:r>
              <w:rPr>
                <w:rFonts w:ascii="Calibri" w:hAnsi="Calibri"/>
                <w:color w:val="13233A"/>
                <w:sz w:val="15"/>
              </w:rPr>
              <w:t>services/faregas-config.api.ts</w:t>
            </w:r>
          </w:p>
        </w:tc>
        <w:tc>
          <w:tcPr>
            <w:tcW w:type="dxa" w:w="1200"/>
          </w:tcPr>
          <w:p>
            <w:pPr>
              <w:spacing w:after="0" w:line="252" w:lineRule="auto"/>
            </w:pPr>
            <w:r>
              <w:rPr>
                <w:rFonts w:ascii="Calibri" w:hAnsi="Calibri"/>
                <w:color w:val="13233A"/>
                <w:sz w:val="15"/>
              </w:rPr>
              <w:t>services</w:t>
            </w:r>
          </w:p>
        </w:tc>
        <w:tc>
          <w:tcPr>
            <w:tcW w:type="dxa" w:w="4860"/>
          </w:tcPr>
          <w:p>
            <w:pPr>
              <w:spacing w:after="0" w:line="252" w:lineRule="auto"/>
            </w:pPr>
            <w:r>
              <w:rPr>
                <w:rFonts w:ascii="Calibri" w:hAnsi="Calibri"/>
                <w:color w:val="13233A"/>
                <w:sz w:val="15"/>
              </w:rPr>
              <w:t>Cliente tipado de endpoints de config; traduce acciones de la pantalla a requests HTTP.</w:t>
            </w:r>
          </w:p>
        </w:tc>
      </w:tr>
      <w:tr>
        <w:trPr>
          <w:cantSplit/>
        </w:trPr>
        <w:tc>
          <w:tcPr>
            <w:tcW w:type="dxa" w:w="3300"/>
          </w:tcPr>
          <w:p>
            <w:pPr>
              <w:spacing w:after="0" w:line="252" w:lineRule="auto"/>
            </w:pPr>
            <w:r>
              <w:rPr>
                <w:rFonts w:ascii="Calibri" w:hAnsi="Calibri"/>
                <w:color w:val="13233A"/>
                <w:sz w:val="15"/>
              </w:rPr>
              <w:t>services/faregas-descuentos.api.ts</w:t>
            </w:r>
          </w:p>
        </w:tc>
        <w:tc>
          <w:tcPr>
            <w:tcW w:type="dxa" w:w="1200"/>
          </w:tcPr>
          <w:p>
            <w:pPr>
              <w:spacing w:after="0" w:line="252" w:lineRule="auto"/>
            </w:pPr>
            <w:r>
              <w:rPr>
                <w:rFonts w:ascii="Calibri" w:hAnsi="Calibri"/>
                <w:color w:val="13233A"/>
                <w:sz w:val="15"/>
              </w:rPr>
              <w:t>services</w:t>
            </w:r>
          </w:p>
        </w:tc>
        <w:tc>
          <w:tcPr>
            <w:tcW w:type="dxa" w:w="4860"/>
          </w:tcPr>
          <w:p>
            <w:pPr>
              <w:spacing w:after="0" w:line="252" w:lineRule="auto"/>
            </w:pPr>
            <w:r>
              <w:rPr>
                <w:rFonts w:ascii="Calibri" w:hAnsi="Calibri"/>
                <w:color w:val="13233A"/>
                <w:sz w:val="15"/>
              </w:rPr>
              <w:t>Cliente tipado de endpoints de descuentos; traduce acciones de la pantalla a requests HTTP.</w:t>
            </w:r>
          </w:p>
        </w:tc>
      </w:tr>
      <w:tr>
        <w:trPr>
          <w:cantSplit/>
        </w:trPr>
        <w:tc>
          <w:tcPr>
            <w:tcW w:type="dxa" w:w="3300"/>
          </w:tcPr>
          <w:p>
            <w:pPr>
              <w:spacing w:after="0" w:line="252" w:lineRule="auto"/>
            </w:pPr>
            <w:r>
              <w:rPr>
                <w:rFonts w:ascii="Calibri" w:hAnsi="Calibri"/>
                <w:color w:val="13233A"/>
                <w:sz w:val="15"/>
              </w:rPr>
              <w:t>services/faregas-http-client.ts</w:t>
            </w:r>
          </w:p>
        </w:tc>
        <w:tc>
          <w:tcPr>
            <w:tcW w:type="dxa" w:w="1200"/>
          </w:tcPr>
          <w:p>
            <w:pPr>
              <w:spacing w:after="0" w:line="252" w:lineRule="auto"/>
            </w:pPr>
            <w:r>
              <w:rPr>
                <w:rFonts w:ascii="Calibri" w:hAnsi="Calibri"/>
                <w:color w:val="13233A"/>
                <w:sz w:val="15"/>
              </w:rPr>
              <w:t>services</w:t>
            </w:r>
          </w:p>
        </w:tc>
        <w:tc>
          <w:tcPr>
            <w:tcW w:type="dxa" w:w="4860"/>
          </w:tcPr>
          <w:p>
            <w:pPr>
              <w:spacing w:after="0" w:line="252" w:lineRule="auto"/>
            </w:pPr>
            <w:r>
              <w:rPr>
                <w:rFonts w:ascii="Calibri" w:hAnsi="Calibri"/>
                <w:color w:val="13233A"/>
                <w:sz w:val="15"/>
              </w:rPr>
              <w:t>Cliente HTTP único: agrega token FAREGAS, prefijo /api/faregas y normaliza errores.</w:t>
            </w:r>
          </w:p>
        </w:tc>
      </w:tr>
      <w:tr>
        <w:trPr>
          <w:cantSplit/>
        </w:trPr>
        <w:tc>
          <w:tcPr>
            <w:tcW w:type="dxa" w:w="3300"/>
          </w:tcPr>
          <w:p>
            <w:pPr>
              <w:spacing w:after="0" w:line="252" w:lineRule="auto"/>
            </w:pPr>
            <w:r>
              <w:rPr>
                <w:rFonts w:ascii="Calibri" w:hAnsi="Calibri"/>
                <w:color w:val="13233A"/>
                <w:sz w:val="15"/>
              </w:rPr>
              <w:t>services/faregas-productos.api.ts</w:t>
            </w:r>
          </w:p>
        </w:tc>
        <w:tc>
          <w:tcPr>
            <w:tcW w:type="dxa" w:w="1200"/>
          </w:tcPr>
          <w:p>
            <w:pPr>
              <w:spacing w:after="0" w:line="252" w:lineRule="auto"/>
            </w:pPr>
            <w:r>
              <w:rPr>
                <w:rFonts w:ascii="Calibri" w:hAnsi="Calibri"/>
                <w:color w:val="13233A"/>
                <w:sz w:val="15"/>
              </w:rPr>
              <w:t>services</w:t>
            </w:r>
          </w:p>
        </w:tc>
        <w:tc>
          <w:tcPr>
            <w:tcW w:type="dxa" w:w="4860"/>
          </w:tcPr>
          <w:p>
            <w:pPr>
              <w:spacing w:after="0" w:line="252" w:lineRule="auto"/>
            </w:pPr>
            <w:r>
              <w:rPr>
                <w:rFonts w:ascii="Calibri" w:hAnsi="Calibri"/>
                <w:color w:val="13233A"/>
                <w:sz w:val="15"/>
              </w:rPr>
              <w:t>Cliente tipado de endpoints de productos; traduce acciones de la pantalla a requests HTTP.</w:t>
            </w:r>
          </w:p>
        </w:tc>
      </w:tr>
      <w:tr>
        <w:trPr>
          <w:cantSplit/>
        </w:trPr>
        <w:tc>
          <w:tcPr>
            <w:tcW w:type="dxa" w:w="3300"/>
          </w:tcPr>
          <w:p>
            <w:pPr>
              <w:spacing w:after="0" w:line="252" w:lineRule="auto"/>
            </w:pPr>
            <w:r>
              <w:rPr>
                <w:rFonts w:ascii="Calibri" w:hAnsi="Calibri"/>
                <w:color w:val="13233A"/>
                <w:sz w:val="15"/>
              </w:rPr>
              <w:t>services/faregas-series.api.ts</w:t>
            </w:r>
          </w:p>
        </w:tc>
        <w:tc>
          <w:tcPr>
            <w:tcW w:type="dxa" w:w="1200"/>
          </w:tcPr>
          <w:p>
            <w:pPr>
              <w:spacing w:after="0" w:line="252" w:lineRule="auto"/>
            </w:pPr>
            <w:r>
              <w:rPr>
                <w:rFonts w:ascii="Calibri" w:hAnsi="Calibri"/>
                <w:color w:val="13233A"/>
                <w:sz w:val="15"/>
              </w:rPr>
              <w:t>services</w:t>
            </w:r>
          </w:p>
        </w:tc>
        <w:tc>
          <w:tcPr>
            <w:tcW w:type="dxa" w:w="4860"/>
          </w:tcPr>
          <w:p>
            <w:pPr>
              <w:spacing w:after="0" w:line="252" w:lineRule="auto"/>
            </w:pPr>
            <w:r>
              <w:rPr>
                <w:rFonts w:ascii="Calibri" w:hAnsi="Calibri"/>
                <w:color w:val="13233A"/>
                <w:sz w:val="15"/>
              </w:rPr>
              <w:t>Cliente tipado de endpoints de series; traduce acciones de la pantalla a requests HTTP.</w:t>
            </w:r>
          </w:p>
        </w:tc>
      </w:tr>
      <w:tr>
        <w:trPr>
          <w:cantSplit/>
        </w:trPr>
        <w:tc>
          <w:tcPr>
            <w:tcW w:type="dxa" w:w="3300"/>
          </w:tcPr>
          <w:p>
            <w:pPr>
              <w:spacing w:after="0" w:line="252" w:lineRule="auto"/>
            </w:pPr>
            <w:r>
              <w:rPr>
                <w:rFonts w:ascii="Calibri" w:hAnsi="Calibri"/>
                <w:color w:val="13233A"/>
                <w:sz w:val="15"/>
              </w:rPr>
              <w:t>services/faregas-tarifas-admin.api.ts</w:t>
            </w:r>
          </w:p>
        </w:tc>
        <w:tc>
          <w:tcPr>
            <w:tcW w:type="dxa" w:w="1200"/>
          </w:tcPr>
          <w:p>
            <w:pPr>
              <w:spacing w:after="0" w:line="252" w:lineRule="auto"/>
            </w:pPr>
            <w:r>
              <w:rPr>
                <w:rFonts w:ascii="Calibri" w:hAnsi="Calibri"/>
                <w:color w:val="13233A"/>
                <w:sz w:val="15"/>
              </w:rPr>
              <w:t>services</w:t>
            </w:r>
          </w:p>
        </w:tc>
        <w:tc>
          <w:tcPr>
            <w:tcW w:type="dxa" w:w="4860"/>
          </w:tcPr>
          <w:p>
            <w:pPr>
              <w:spacing w:after="0" w:line="252" w:lineRule="auto"/>
            </w:pPr>
            <w:r>
              <w:rPr>
                <w:rFonts w:ascii="Calibri" w:hAnsi="Calibri"/>
                <w:color w:val="13233A"/>
                <w:sz w:val="15"/>
              </w:rPr>
              <w:t>Cliente tipado de endpoints de tarifas-admin; traduce acciones de la pantalla a requests HTTP.</w:t>
            </w:r>
          </w:p>
        </w:tc>
      </w:tr>
      <w:tr>
        <w:trPr>
          <w:cantSplit/>
        </w:trPr>
        <w:tc>
          <w:tcPr>
            <w:tcW w:type="dxa" w:w="3300"/>
          </w:tcPr>
          <w:p>
            <w:pPr>
              <w:spacing w:after="0" w:line="252" w:lineRule="auto"/>
            </w:pPr>
            <w:r>
              <w:rPr>
                <w:rFonts w:ascii="Calibri" w:hAnsi="Calibri"/>
                <w:color w:val="13233A"/>
                <w:sz w:val="15"/>
              </w:rPr>
              <w:t>services/faregas-tarifas.api.ts</w:t>
            </w:r>
          </w:p>
        </w:tc>
        <w:tc>
          <w:tcPr>
            <w:tcW w:type="dxa" w:w="1200"/>
          </w:tcPr>
          <w:p>
            <w:pPr>
              <w:spacing w:after="0" w:line="252" w:lineRule="auto"/>
            </w:pPr>
            <w:r>
              <w:rPr>
                <w:rFonts w:ascii="Calibri" w:hAnsi="Calibri"/>
                <w:color w:val="13233A"/>
                <w:sz w:val="15"/>
              </w:rPr>
              <w:t>services</w:t>
            </w:r>
          </w:p>
        </w:tc>
        <w:tc>
          <w:tcPr>
            <w:tcW w:type="dxa" w:w="4860"/>
          </w:tcPr>
          <w:p>
            <w:pPr>
              <w:spacing w:after="0" w:line="252" w:lineRule="auto"/>
            </w:pPr>
            <w:r>
              <w:rPr>
                <w:rFonts w:ascii="Calibri" w:hAnsi="Calibri"/>
                <w:color w:val="13233A"/>
                <w:sz w:val="15"/>
              </w:rPr>
              <w:t>Cliente tipado de endpoints de tarifas; traduce acciones de la pantalla a requests HTTP.</w:t>
            </w:r>
          </w:p>
        </w:tc>
      </w:tr>
      <w:tr>
        <w:trPr>
          <w:cantSplit/>
        </w:trPr>
        <w:tc>
          <w:tcPr>
            <w:tcW w:type="dxa" w:w="3300"/>
          </w:tcPr>
          <w:p>
            <w:pPr>
              <w:spacing w:after="0" w:line="252" w:lineRule="auto"/>
            </w:pPr>
            <w:r>
              <w:rPr>
                <w:rFonts w:ascii="Calibri" w:hAnsi="Calibri"/>
                <w:color w:val="13233A"/>
                <w:sz w:val="15"/>
              </w:rPr>
              <w:t>services/faregas-usuarios.api.ts</w:t>
            </w:r>
          </w:p>
        </w:tc>
        <w:tc>
          <w:tcPr>
            <w:tcW w:type="dxa" w:w="1200"/>
          </w:tcPr>
          <w:p>
            <w:pPr>
              <w:spacing w:after="0" w:line="252" w:lineRule="auto"/>
            </w:pPr>
            <w:r>
              <w:rPr>
                <w:rFonts w:ascii="Calibri" w:hAnsi="Calibri"/>
                <w:color w:val="13233A"/>
                <w:sz w:val="15"/>
              </w:rPr>
              <w:t>services</w:t>
            </w:r>
          </w:p>
        </w:tc>
        <w:tc>
          <w:tcPr>
            <w:tcW w:type="dxa" w:w="4860"/>
          </w:tcPr>
          <w:p>
            <w:pPr>
              <w:spacing w:after="0" w:line="252" w:lineRule="auto"/>
            </w:pPr>
            <w:r>
              <w:rPr>
                <w:rFonts w:ascii="Calibri" w:hAnsi="Calibri"/>
                <w:color w:val="13233A"/>
                <w:sz w:val="15"/>
              </w:rPr>
              <w:t>Cliente tipado de endpoints de usuarios; traduce acciones de la pantalla a requests HTTP.</w:t>
            </w:r>
          </w:p>
        </w:tc>
      </w:tr>
      <w:tr>
        <w:trPr>
          <w:cantSplit/>
        </w:trPr>
        <w:tc>
          <w:tcPr>
            <w:tcW w:type="dxa" w:w="3300"/>
          </w:tcPr>
          <w:p>
            <w:pPr>
              <w:spacing w:after="0" w:line="252" w:lineRule="auto"/>
            </w:pPr>
            <w:r>
              <w:rPr>
                <w:rFonts w:ascii="Calibri" w:hAnsi="Calibri"/>
                <w:color w:val="13233A"/>
                <w:sz w:val="15"/>
              </w:rPr>
              <w:t>types/faregas-api.ts</w:t>
            </w:r>
          </w:p>
        </w:tc>
        <w:tc>
          <w:tcPr>
            <w:tcW w:type="dxa" w:w="1200"/>
          </w:tcPr>
          <w:p>
            <w:pPr>
              <w:spacing w:after="0" w:line="252" w:lineRule="auto"/>
            </w:pPr>
            <w:r>
              <w:rPr>
                <w:rFonts w:ascii="Calibri" w:hAnsi="Calibri"/>
                <w:color w:val="13233A"/>
                <w:sz w:val="15"/>
              </w:rPr>
              <w:t>types</w:t>
            </w:r>
          </w:p>
        </w:tc>
        <w:tc>
          <w:tcPr>
            <w:tcW w:type="dxa" w:w="4860"/>
          </w:tcPr>
          <w:p>
            <w:pPr>
              <w:spacing w:after="0" w:line="252" w:lineRule="auto"/>
            </w:pPr>
            <w:r>
              <w:rPr>
                <w:rFonts w:ascii="Calibri" w:hAnsi="Calibri"/>
                <w:color w:val="13233A"/>
                <w:sz w:val="15"/>
              </w:rPr>
              <w:t>Contratos TypeScript de requests/responses de la API FAREGAS.</w:t>
            </w:r>
          </w:p>
        </w:tc>
      </w:tr>
      <w:tr>
        <w:trPr>
          <w:cantSplit/>
        </w:trPr>
        <w:tc>
          <w:tcPr>
            <w:tcW w:type="dxa" w:w="3300"/>
          </w:tcPr>
          <w:p>
            <w:pPr>
              <w:spacing w:after="0" w:line="252" w:lineRule="auto"/>
            </w:pPr>
            <w:r>
              <w:rPr>
                <w:rFonts w:ascii="Calibri" w:hAnsi="Calibri"/>
                <w:color w:val="13233A"/>
                <w:sz w:val="15"/>
              </w:rPr>
              <w:t>types/faregas.ts</w:t>
            </w:r>
          </w:p>
        </w:tc>
        <w:tc>
          <w:tcPr>
            <w:tcW w:type="dxa" w:w="1200"/>
          </w:tcPr>
          <w:p>
            <w:pPr>
              <w:spacing w:after="0" w:line="252" w:lineRule="auto"/>
            </w:pPr>
            <w:r>
              <w:rPr>
                <w:rFonts w:ascii="Calibri" w:hAnsi="Calibri"/>
                <w:color w:val="13233A"/>
                <w:sz w:val="15"/>
              </w:rPr>
              <w:t>types</w:t>
            </w:r>
          </w:p>
        </w:tc>
        <w:tc>
          <w:tcPr>
            <w:tcW w:type="dxa" w:w="4860"/>
          </w:tcPr>
          <w:p>
            <w:pPr>
              <w:spacing w:after="0" w:line="252" w:lineRule="auto"/>
            </w:pPr>
            <w:r>
              <w:rPr>
                <w:rFonts w:ascii="Calibri" w:hAnsi="Calibri"/>
                <w:color w:val="13233A"/>
                <w:sz w:val="15"/>
              </w:rPr>
              <w:t>Tipos del dominio FAREGAS usados por vistas y componentes.</w:t>
            </w:r>
          </w:p>
        </w:tc>
      </w:tr>
      <w:tr>
        <w:trPr>
          <w:cantSplit/>
        </w:trPr>
        <w:tc>
          <w:tcPr>
            <w:tcW w:type="dxa" w:w="3300"/>
          </w:tcPr>
          <w:p>
            <w:pPr>
              <w:spacing w:after="0" w:line="252" w:lineRule="auto"/>
            </w:pPr>
            <w:r>
              <w:rPr>
                <w:rFonts w:ascii="Calibri" w:hAnsi="Calibri"/>
                <w:color w:val="13233A"/>
                <w:sz w:val="15"/>
              </w:rPr>
              <w:t>utils/exportar-excel.ts</w:t>
            </w:r>
          </w:p>
        </w:tc>
        <w:tc>
          <w:tcPr>
            <w:tcW w:type="dxa" w:w="1200"/>
          </w:tcPr>
          <w:p>
            <w:pPr>
              <w:spacing w:after="0" w:line="252" w:lineRule="auto"/>
            </w:pPr>
            <w:r>
              <w:rPr>
                <w:rFonts w:ascii="Calibri" w:hAnsi="Calibri"/>
                <w:color w:val="13233A"/>
                <w:sz w:val="15"/>
              </w:rPr>
              <w:t>utils</w:t>
            </w:r>
          </w:p>
        </w:tc>
        <w:tc>
          <w:tcPr>
            <w:tcW w:type="dxa" w:w="4860"/>
          </w:tcPr>
          <w:p>
            <w:pPr>
              <w:spacing w:after="0" w:line="252" w:lineRule="auto"/>
            </w:pPr>
            <w:r>
              <w:rPr>
                <w:rFonts w:ascii="Calibri" w:hAnsi="Calibri"/>
                <w:color w:val="13233A"/>
                <w:sz w:val="15"/>
              </w:rPr>
              <w:t>Utilidad compartida para generar archivos Excel desde tablas de configuración.</w:t>
            </w:r>
          </w:p>
        </w:tc>
      </w:tr>
      <w:tr>
        <w:trPr>
          <w:cantSplit/>
        </w:trPr>
        <w:tc>
          <w:tcPr>
            <w:tcW w:type="dxa" w:w="3300"/>
          </w:tcPr>
          <w:p>
            <w:pPr>
              <w:spacing w:after="0" w:line="252" w:lineRule="auto"/>
            </w:pPr>
            <w:r>
              <w:rPr>
                <w:rFonts w:ascii="Calibri" w:hAnsi="Calibri"/>
                <w:color w:val="13233A"/>
                <w:sz w:val="15"/>
              </w:rPr>
              <w:t>utils/vehiculo-formatters.ts</w:t>
            </w:r>
          </w:p>
        </w:tc>
        <w:tc>
          <w:tcPr>
            <w:tcW w:type="dxa" w:w="1200"/>
          </w:tcPr>
          <w:p>
            <w:pPr>
              <w:spacing w:after="0" w:line="252" w:lineRule="auto"/>
            </w:pPr>
            <w:r>
              <w:rPr>
                <w:rFonts w:ascii="Calibri" w:hAnsi="Calibri"/>
                <w:color w:val="13233A"/>
                <w:sz w:val="15"/>
              </w:rPr>
              <w:t>utils</w:t>
            </w:r>
          </w:p>
        </w:tc>
        <w:tc>
          <w:tcPr>
            <w:tcW w:type="dxa" w:w="4860"/>
          </w:tcPr>
          <w:p>
            <w:pPr>
              <w:spacing w:after="0" w:line="252" w:lineRule="auto"/>
            </w:pPr>
            <w:r>
              <w:rPr>
                <w:rFonts w:ascii="Calibri" w:hAnsi="Calibri"/>
                <w:color w:val="13233A"/>
                <w:sz w:val="15"/>
              </w:rPr>
              <w:t>Normaliza y presenta datos vehiculares procedentes de FARENET o del borrador.</w:t>
            </w:r>
          </w:p>
        </w:tc>
      </w:tr>
      <w:tr>
        <w:trPr>
          <w:cantSplit/>
        </w:trPr>
        <w:tc>
          <w:tcPr>
            <w:tcW w:type="dxa" w:w="3300"/>
          </w:tcPr>
          <w:p>
            <w:pPr>
              <w:spacing w:after="0" w:line="252" w:lineRule="auto"/>
            </w:pPr>
            <w:r>
              <w:rPr>
                <w:rFonts w:ascii="Calibri" w:hAnsi="Calibri"/>
                <w:color w:val="13233A"/>
                <w:sz w:val="15"/>
              </w:rPr>
              <w:t>views/Auditoria/AuditoriaView.tsx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Pantalla de trazabilidad operativa; filtra y presenta eventos por módulo, usuario, fechas y resultado.</w:t>
            </w:r>
          </w:p>
        </w:tc>
      </w:tr>
      <w:tr>
        <w:trPr>
          <w:cantSplit/>
        </w:trPr>
        <w:tc>
          <w:tcPr>
            <w:tcW w:type="dxa" w:w="3300"/>
          </w:tcPr>
          <w:p>
            <w:pPr>
              <w:spacing w:after="0" w:line="252" w:lineRule="auto"/>
            </w:pPr>
            <w:r>
              <w:rPr>
                <w:rFonts w:ascii="Calibri" w:hAnsi="Calibri"/>
                <w:color w:val="13233A"/>
                <w:sz w:val="15"/>
              </w:rPr>
              <w:t>views/Configuracion/components/AsignarSedesModal.tsx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Modal de asignación masiva de sedes a un servicio.</w:t>
            </w:r>
          </w:p>
        </w:tc>
      </w:tr>
      <w:tr>
        <w:trPr>
          <w:cantSplit/>
        </w:trPr>
        <w:tc>
          <w:tcPr>
            <w:tcW w:type="dxa" w:w="3300"/>
          </w:tcPr>
          <w:p>
            <w:pPr>
              <w:spacing w:after="0" w:line="252" w:lineRule="auto"/>
            </w:pPr>
            <w:r>
              <w:rPr>
                <w:rFonts w:ascii="Calibri" w:hAnsi="Calibri"/>
                <w:color w:val="13233A"/>
                <w:sz w:val="15"/>
              </w:rPr>
              <w:t>views/Configuracion/components/ServicioModal.tsx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Modal reutilizable para crear o editar servicios.</w:t>
            </w:r>
          </w:p>
        </w:tc>
      </w:tr>
      <w:tr>
        <w:trPr>
          <w:cantSplit/>
        </w:trPr>
        <w:tc>
          <w:tcPr>
            <w:tcW w:type="dxa" w:w="3300"/>
          </w:tcPr>
          <w:p>
            <w:pPr>
              <w:spacing w:after="0" w:line="252" w:lineRule="auto"/>
            </w:pPr>
            <w:r>
              <w:rPr>
                <w:rFonts w:ascii="Calibri" w:hAnsi="Calibri"/>
                <w:color w:val="13233A"/>
                <w:sz w:val="15"/>
              </w:rPr>
              <w:t>views/Configuracion/components/TabCatalogo.tsx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Subnavegación del catálogo entre categorías, servicios/productos y certificados base.</w:t>
            </w:r>
          </w:p>
        </w:tc>
      </w:tr>
      <w:tr>
        <w:trPr>
          <w:cantSplit/>
        </w:trPr>
        <w:tc>
          <w:tcPr>
            <w:tcW w:type="dxa" w:w="3300"/>
          </w:tcPr>
          <w:p>
            <w:pPr>
              <w:spacing w:after="0" w:line="252" w:lineRule="auto"/>
            </w:pPr>
            <w:r>
              <w:rPr>
                <w:rFonts w:ascii="Calibri" w:hAnsi="Calibri"/>
                <w:color w:val="13233A"/>
                <w:sz w:val="15"/>
              </w:rPr>
              <w:t>views/Configuracion/components/TabCategorias.tsx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CRUD visual de categorías del catálogo.</w:t>
            </w:r>
          </w:p>
        </w:tc>
      </w:tr>
      <w:tr>
        <w:trPr>
          <w:cantSplit/>
        </w:trPr>
        <w:tc>
          <w:tcPr>
            <w:tcW w:type="dxa" w:w="3300"/>
          </w:tcPr>
          <w:p>
            <w:pPr>
              <w:spacing w:after="0" w:line="252" w:lineRule="auto"/>
            </w:pPr>
            <w:r>
              <w:rPr>
                <w:rFonts w:ascii="Calibri" w:hAnsi="Calibri"/>
                <w:color w:val="13233A"/>
                <w:sz w:val="15"/>
              </w:rPr>
              <w:t>views/Configuracion/components/TabCertificadosBase.tsx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Consulta del catálogo base de plantillas/tipos de certificado.</w:t>
            </w:r>
          </w:p>
        </w:tc>
      </w:tr>
      <w:tr>
        <w:trPr>
          <w:cantSplit/>
        </w:trPr>
        <w:tc>
          <w:tcPr>
            <w:tcW w:type="dxa" w:w="3300"/>
          </w:tcPr>
          <w:p>
            <w:pPr>
              <w:spacing w:after="0" w:line="252" w:lineRule="auto"/>
            </w:pPr>
            <w:r>
              <w:rPr>
                <w:rFonts w:ascii="Calibri" w:hAnsi="Calibri"/>
                <w:color w:val="13233A"/>
                <w:sz w:val="15"/>
              </w:rPr>
              <w:t>views/Configuracion/components/TabCorrelativos.tsx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Rangos de numeración de certificados por sede y modalidad.</w:t>
            </w:r>
          </w:p>
        </w:tc>
      </w:tr>
      <w:tr>
        <w:trPr>
          <w:cantSplit/>
        </w:trPr>
        <w:tc>
          <w:tcPr>
            <w:tcW w:type="dxa" w:w="3300"/>
          </w:tcPr>
          <w:p>
            <w:pPr>
              <w:spacing w:after="0" w:line="252" w:lineRule="auto"/>
            </w:pPr>
            <w:r>
              <w:rPr>
                <w:rFonts w:ascii="Calibri" w:hAnsi="Calibri"/>
                <w:color w:val="13233A"/>
                <w:sz w:val="15"/>
              </w:rPr>
              <w:t>views/Configuracion/components/TabEmpresas.tsx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Administración de empresas FAREGAS y relación histórica con sedes.</w:t>
            </w:r>
          </w:p>
        </w:tc>
      </w:tr>
      <w:tr>
        <w:trPr>
          <w:cantSplit/>
        </w:trPr>
        <w:tc>
          <w:tcPr>
            <w:tcW w:type="dxa" w:w="3300"/>
          </w:tcPr>
          <w:p>
            <w:pPr>
              <w:spacing w:after="0" w:line="252" w:lineRule="auto"/>
            </w:pPr>
            <w:r>
              <w:rPr>
                <w:rFonts w:ascii="Calibri" w:hAnsi="Calibri"/>
                <w:color w:val="13233A"/>
                <w:sz w:val="15"/>
              </w:rPr>
              <w:t>views/Configuracion/components/TabFacturacion.tsx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Contenedor visual de configuración de series y comprobantes.</w:t>
            </w:r>
          </w:p>
        </w:tc>
      </w:tr>
      <w:tr>
        <w:trPr>
          <w:cantSplit/>
        </w:trPr>
        <w:tc>
          <w:tcPr>
            <w:tcW w:type="dxa" w:w="3300"/>
          </w:tcPr>
          <w:p>
            <w:pPr>
              <w:spacing w:after="0" w:line="252" w:lineRule="auto"/>
            </w:pPr>
            <w:r>
              <w:rPr>
                <w:rFonts w:ascii="Calibri" w:hAnsi="Calibri"/>
                <w:color w:val="13233A"/>
                <w:sz w:val="15"/>
              </w:rPr>
              <w:t>views/Configuracion/components/TabProductos.tsx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CRUD visual de SKU/productos de facturación y exportación a Excel.</w:t>
            </w:r>
          </w:p>
        </w:tc>
      </w:tr>
      <w:tr>
        <w:trPr>
          <w:cantSplit/>
        </w:trPr>
        <w:tc>
          <w:tcPr>
            <w:tcW w:type="dxa" w:w="3300"/>
          </w:tcPr>
          <w:p>
            <w:pPr>
              <w:spacing w:after="0" w:line="252" w:lineRule="auto"/>
            </w:pPr>
            <w:r>
              <w:rPr>
                <w:rFonts w:ascii="Calibri" w:hAnsi="Calibri"/>
                <w:color w:val="13233A"/>
                <w:sz w:val="15"/>
              </w:rPr>
              <w:t>views/Configuracion/components/TabSeries.tsx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Series administrativas por sede y tipo de comprobante.</w:t>
            </w:r>
          </w:p>
        </w:tc>
      </w:tr>
      <w:tr>
        <w:trPr>
          <w:cantSplit/>
        </w:trPr>
        <w:tc>
          <w:tcPr>
            <w:tcW w:type="dxa" w:w="3300"/>
          </w:tcPr>
          <w:p>
            <w:pPr>
              <w:spacing w:after="0" w:line="252" w:lineRule="auto"/>
            </w:pPr>
            <w:r>
              <w:rPr>
                <w:rFonts w:ascii="Calibri" w:hAnsi="Calibri"/>
                <w:color w:val="13233A"/>
                <w:sz w:val="15"/>
              </w:rPr>
              <w:t>views/Configuracion/components/TabServicios.tsx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CRUD visual de servicios operativos y su clasificación funcional.</w:t>
            </w:r>
          </w:p>
        </w:tc>
      </w:tr>
      <w:tr>
        <w:trPr>
          <w:cantSplit/>
        </w:trPr>
        <w:tc>
          <w:tcPr>
            <w:tcW w:type="dxa" w:w="3300"/>
          </w:tcPr>
          <w:p>
            <w:pPr>
              <w:spacing w:after="0" w:line="252" w:lineRule="auto"/>
            </w:pPr>
            <w:r>
              <w:rPr>
                <w:rFonts w:ascii="Calibri" w:hAnsi="Calibri"/>
                <w:color w:val="13233A"/>
                <w:sz w:val="15"/>
              </w:rPr>
              <w:t>views/Configuracion/components/TabTarifas.tsx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Tarifas por sede y relación servicio–SKU de facturación.</w:t>
            </w:r>
          </w:p>
        </w:tc>
      </w:tr>
      <w:tr>
        <w:trPr>
          <w:cantSplit/>
        </w:trPr>
        <w:tc>
          <w:tcPr>
            <w:tcW w:type="dxa" w:w="3300"/>
          </w:tcPr>
          <w:p>
            <w:pPr>
              <w:spacing w:after="0" w:line="252" w:lineRule="auto"/>
            </w:pPr>
            <w:r>
              <w:rPr>
                <w:rFonts w:ascii="Calibri" w:hAnsi="Calibri"/>
                <w:color w:val="13233A"/>
                <w:sz w:val="15"/>
              </w:rPr>
              <w:t>views/Configuracion/FaregasConfiguracionView.tsx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Contenedor de Configuración; cambia entre sedes, catálogo, facturación, correlativos y empresas.</w:t>
            </w:r>
          </w:p>
        </w:tc>
      </w:tr>
      <w:tr>
        <w:trPr>
          <w:cantSplit/>
        </w:trPr>
        <w:tc>
          <w:tcPr>
            <w:tcW w:type="dxa" w:w="3300"/>
          </w:tcPr>
          <w:p>
            <w:pPr>
              <w:spacing w:after="0" w:line="252" w:lineRule="auto"/>
            </w:pPr>
            <w:r>
              <w:rPr>
                <w:rFonts w:ascii="Calibri" w:hAnsi="Calibri"/>
                <w:color w:val="13233A"/>
                <w:sz w:val="15"/>
              </w:rPr>
              <w:t>views/Configuracion/TabSedes.tsx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CRUD visual de sedes FAREGAS, asignación de empresa, estado y exportación.</w:t>
            </w:r>
          </w:p>
        </w:tc>
      </w:tr>
      <w:tr>
        <w:trPr>
          <w:cantSplit/>
        </w:trPr>
        <w:tc>
          <w:tcPr>
            <w:tcW w:type="dxa" w:w="3300"/>
          </w:tcPr>
          <w:p>
            <w:pPr>
              <w:spacing w:after="0" w:line="252" w:lineRule="auto"/>
            </w:pPr>
            <w:r>
              <w:rPr>
                <w:rFonts w:ascii="Calibri" w:hAnsi="Calibri"/>
                <w:color w:val="13233A"/>
                <w:sz w:val="15"/>
              </w:rPr>
              <w:t>views/Dashboard/GenericView.tsx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Vista genérica de apoyo para módulos que solo requieren título y descripción.</w:t>
            </w:r>
          </w:p>
        </w:tc>
      </w:tr>
      <w:tr>
        <w:trPr>
          <w:cantSplit/>
        </w:trPr>
        <w:tc>
          <w:tcPr>
            <w:tcW w:type="dxa" w:w="3300"/>
          </w:tcPr>
          <w:p>
            <w:pPr>
              <w:spacing w:after="0" w:line="252" w:lineRule="auto"/>
            </w:pPr>
            <w:r>
              <w:rPr>
                <w:rFonts w:ascii="Calibri" w:hAnsi="Calibri"/>
                <w:color w:val="13233A"/>
                <w:sz w:val="15"/>
              </w:rPr>
              <w:t>views/Dashboard/MainLayout.tsx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Layout autenticado: Header, Sidebar, sede activa, permisos y Outlet de las pantallas FAREGAS.</w:t>
            </w:r>
          </w:p>
        </w:tc>
      </w:tr>
      <w:tr>
        <w:trPr>
          <w:cantSplit/>
        </w:trPr>
        <w:tc>
          <w:tcPr>
            <w:tcW w:type="dxa" w:w="3300"/>
          </w:tcPr>
          <w:p>
            <w:pPr>
              <w:spacing w:after="0" w:line="252" w:lineRule="auto"/>
            </w:pPr>
            <w:r>
              <w:rPr>
                <w:rFonts w:ascii="Calibri" w:hAnsi="Calibri"/>
                <w:color w:val="13233A"/>
                <w:sz w:val="15"/>
              </w:rPr>
              <w:t>views/Descuentos/DescuentosView.tsx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Administración de campañas, reglas por sede/servicio y códigos que autorizan descuentos.</w:t>
            </w:r>
          </w:p>
        </w:tc>
      </w:tr>
      <w:tr>
        <w:trPr>
          <w:cantSplit/>
        </w:trPr>
        <w:tc>
          <w:tcPr>
            <w:tcW w:type="dxa" w:w="3300"/>
          </w:tcPr>
          <w:p>
            <w:pPr>
              <w:spacing w:after="0" w:line="252" w:lineRule="auto"/>
            </w:pPr>
            <w:r>
              <w:rPr>
                <w:rFonts w:ascii="Calibri" w:hAnsi="Calibri"/>
                <w:color w:val="13233A"/>
                <w:sz w:val="15"/>
              </w:rPr>
              <w:t>views/Inicio/InicioView.tsx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Panel principal: lista borradores/certificados, búsqueda, filtros de fecha, paginación y continuidad del expediente.</w:t>
            </w:r>
          </w:p>
        </w:tc>
      </w:tr>
      <w:tr>
        <w:trPr>
          <w:cantSplit/>
        </w:trPr>
        <w:tc>
          <w:tcPr>
            <w:tcW w:type="dxa" w:w="3300"/>
          </w:tcPr>
          <w:p>
            <w:pPr>
              <w:spacing w:after="0" w:line="252" w:lineRule="auto"/>
            </w:pPr>
            <w:r>
              <w:rPr>
                <w:rFonts w:ascii="Calibri" w:hAnsi="Calibri"/>
                <w:color w:val="13233A"/>
                <w:sz w:val="15"/>
              </w:rPr>
              <w:t>views/NuevoCertificado/components/NuevoCertificado/CajaStep.tsx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Datos iniciales: catálogo por sede, servicio, placa, categoría, consulta y descuento.</w:t>
            </w:r>
          </w:p>
        </w:tc>
      </w:tr>
      <w:tr>
        <w:trPr>
          <w:cantSplit/>
        </w:trPr>
        <w:tc>
          <w:tcPr>
            <w:tcW w:type="dxa" w:w="3300"/>
          </w:tcPr>
          <w:p>
            <w:pPr>
              <w:spacing w:after="0" w:line="252" w:lineRule="auto"/>
            </w:pPr>
            <w:r>
              <w:rPr>
                <w:rFonts w:ascii="Calibri" w:hAnsi="Calibri"/>
                <w:color w:val="13233A"/>
                <w:sz w:val="15"/>
              </w:rPr>
              <w:t>views/NuevoCertificado/components/NuevoCertificado/conformidad/CaracteristicasFinalesStep.tsx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Registra las características finales certificadas en una conformidad.</w:t>
            </w:r>
          </w:p>
        </w:tc>
      </w:tr>
      <w:tr>
        <w:trPr>
          <w:cantSplit/>
        </w:trPr>
        <w:tc>
          <w:tcPr>
            <w:tcW w:type="dxa" w:w="3300"/>
          </w:tcPr>
          <w:p>
            <w:pPr>
              <w:spacing w:after="0" w:line="252" w:lineRule="auto"/>
            </w:pPr>
            <w:r>
              <w:rPr>
                <w:rFonts w:ascii="Calibri" w:hAnsi="Calibri"/>
                <w:color w:val="13233A"/>
                <w:sz w:val="15"/>
              </w:rPr>
              <w:t>views/NuevoCertificado/components/NuevoCertificado/conformidad/TipoConformidadStep.tsx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Define el subtipo de conformidad solicitado.</w:t>
            </w:r>
          </w:p>
        </w:tc>
      </w:tr>
      <w:tr>
        <w:trPr>
          <w:cantSplit/>
        </w:trPr>
        <w:tc>
          <w:tcPr>
            <w:tcW w:type="dxa" w:w="3300"/>
          </w:tcPr>
          <w:p>
            <w:pPr>
              <w:spacing w:after="0" w:line="252" w:lineRule="auto"/>
            </w:pPr>
            <w:r>
              <w:rPr>
                <w:rFonts w:ascii="Calibri" w:hAnsi="Calibri"/>
                <w:color w:val="13233A"/>
                <w:sz w:val="15"/>
              </w:rPr>
              <w:t>views/NuevoCertificado/components/NuevoCertificado/ConsultaDescuento.tsx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Consulta un código, muestra vigencia/beneficio y solicita su aplicación al borrador.</w:t>
            </w:r>
          </w:p>
        </w:tc>
      </w:tr>
      <w:tr>
        <w:trPr>
          <w:cantSplit/>
        </w:trPr>
        <w:tc>
          <w:tcPr>
            <w:tcW w:type="dxa" w:w="3300"/>
          </w:tcPr>
          <w:p>
            <w:pPr>
              <w:spacing w:after="0" w:line="252" w:lineRule="auto"/>
            </w:pPr>
            <w:r>
              <w:rPr>
                <w:rFonts w:ascii="Calibri" w:hAnsi="Calibri"/>
                <w:color w:val="13233A"/>
                <w:sz w:val="15"/>
              </w:rPr>
              <w:t>views/NuevoCertificado/components/NuevoCertificado/EmisionStep.tsx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Acción final de emisión y presentación del resultado del certificado.</w:t>
            </w:r>
          </w:p>
        </w:tc>
      </w:tr>
      <w:tr>
        <w:trPr>
          <w:cantSplit/>
        </w:trPr>
        <w:tc>
          <w:tcPr>
            <w:tcW w:type="dxa" w:w="3300"/>
          </w:tcPr>
          <w:p>
            <w:pPr>
              <w:spacing w:after="0" w:line="252" w:lineRule="auto"/>
            </w:pPr>
            <w:r>
              <w:rPr>
                <w:rFonts w:ascii="Calibri" w:hAnsi="Calibri"/>
                <w:color w:val="13233A"/>
                <w:sz w:val="15"/>
              </w:rPr>
              <w:t>views/NuevoCertificado/components/NuevoCertificado/FacturacionStep.tsx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Captura datos del comprobante y prepara/consulta la facturación electrónica.</w:t>
            </w:r>
          </w:p>
        </w:tc>
      </w:tr>
      <w:tr>
        <w:trPr>
          <w:cantSplit/>
        </w:trPr>
        <w:tc>
          <w:tcPr>
            <w:tcW w:type="dxa" w:w="3300"/>
          </w:tcPr>
          <w:p>
            <w:pPr>
              <w:spacing w:after="0" w:line="252" w:lineRule="auto"/>
            </w:pPr>
            <w:r>
              <w:rPr>
                <w:rFonts w:ascii="Calibri" w:hAnsi="Calibri"/>
                <w:color w:val="13233A"/>
                <w:sz w:val="15"/>
              </w:rPr>
              <w:t>views/NuevoCertificado/components/NuevoCertificado/glp/ComponentesGlpStep.tsx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Captura de cilindro, regulador y demás componentes GLP.</w:t>
            </w:r>
          </w:p>
        </w:tc>
      </w:tr>
      <w:tr>
        <w:trPr>
          <w:cantSplit/>
        </w:trPr>
        <w:tc>
          <w:tcPr>
            <w:tcW w:type="dxa" w:w="3300"/>
          </w:tcPr>
          <w:p>
            <w:pPr>
              <w:spacing w:after="0" w:line="252" w:lineRule="auto"/>
            </w:pPr>
            <w:r>
              <w:rPr>
                <w:rFonts w:ascii="Calibri" w:hAnsi="Calibri"/>
                <w:color w:val="13233A"/>
                <w:sz w:val="15"/>
              </w:rPr>
              <w:t>views/NuevoCertificado/components/NuevoCertificado/glp/DatosGlpStep.tsx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Datos específicos GLP, taller, vigencia, expediente y verificaciones.</w:t>
            </w:r>
          </w:p>
        </w:tc>
      </w:tr>
      <w:tr>
        <w:trPr>
          <w:cantSplit/>
        </w:trPr>
        <w:tc>
          <w:tcPr>
            <w:tcW w:type="dxa" w:w="3300"/>
          </w:tcPr>
          <w:p>
            <w:pPr>
              <w:spacing w:after="0" w:line="252" w:lineRule="auto"/>
            </w:pPr>
            <w:r>
              <w:rPr>
                <w:rFonts w:ascii="Calibri" w:hAnsi="Calibri"/>
                <w:color w:val="13233A"/>
                <w:sz w:val="15"/>
              </w:rPr>
              <w:t>views/NuevoCertificado/components/NuevoCertificado/gnv/InspeccionGnvStep.tsx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Datos, componentes y verificaciones específicas de GNV.</w:t>
            </w:r>
          </w:p>
        </w:tc>
      </w:tr>
      <w:tr>
        <w:trPr>
          <w:cantSplit/>
        </w:trPr>
        <w:tc>
          <w:tcPr>
            <w:tcW w:type="dxa" w:w="3300"/>
          </w:tcPr>
          <w:p>
            <w:pPr>
              <w:spacing w:after="0" w:line="252" w:lineRule="auto"/>
            </w:pPr>
            <w:r>
              <w:rPr>
                <w:rFonts w:ascii="Calibri" w:hAnsi="Calibri"/>
                <w:color w:val="13233A"/>
                <w:sz w:val="15"/>
              </w:rPr>
              <w:t>views/NuevoCertificado/components/NuevoCertificado/PagoStep.tsx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Registro y edición de medios de pago; arma la orden y verifica el total pagado.</w:t>
            </w:r>
          </w:p>
        </w:tc>
      </w:tr>
      <w:tr>
        <w:trPr>
          <w:cantSplit/>
        </w:trPr>
        <w:tc>
          <w:tcPr>
            <w:tcW w:type="dxa" w:w="3300"/>
          </w:tcPr>
          <w:p>
            <w:pPr>
              <w:spacing w:after="0" w:line="252" w:lineRule="auto"/>
            </w:pPr>
            <w:r>
              <w:rPr>
                <w:rFonts w:ascii="Calibri" w:hAnsi="Calibri"/>
                <w:color w:val="13233A"/>
                <w:sz w:val="15"/>
              </w:rPr>
              <w:t>views/NuevoCertificado/components/NuevoCertificado/PrevisualizacionCertificadoStep.tsx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Renderiza la previsualización HTML del certificado sin alterar su plantilla.</w:t>
            </w:r>
          </w:p>
        </w:tc>
      </w:tr>
      <w:tr>
        <w:trPr>
          <w:cantSplit/>
        </w:trPr>
        <w:tc>
          <w:tcPr>
            <w:tcW w:type="dxa" w:w="3300"/>
          </w:tcPr>
          <w:p>
            <w:pPr>
              <w:spacing w:after="0" w:line="252" w:lineRule="auto"/>
            </w:pPr>
            <w:r>
              <w:rPr>
                <w:rFonts w:ascii="Calibri" w:hAnsi="Calibri"/>
                <w:color w:val="13233A"/>
                <w:sz w:val="15"/>
              </w:rPr>
              <w:t>views/NuevoCertificado/components/NuevoCertificado/PropietarioStep.tsx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Formulario de propietario/cliente asociado al expediente.</w:t>
            </w:r>
          </w:p>
        </w:tc>
      </w:tr>
      <w:tr>
        <w:trPr>
          <w:cantSplit/>
        </w:trPr>
        <w:tc>
          <w:tcPr>
            <w:tcW w:type="dxa" w:w="3300"/>
          </w:tcPr>
          <w:p>
            <w:pPr>
              <w:spacing w:after="0" w:line="252" w:lineRule="auto"/>
            </w:pPr>
            <w:r>
              <w:rPr>
                <w:rFonts w:ascii="Calibri" w:hAnsi="Calibri"/>
                <w:color w:val="13233A"/>
                <w:sz w:val="15"/>
              </w:rPr>
              <w:t>views/NuevoCertificado/components/NuevoCertificado/SharedForms.tsx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Controles y secciones reutilizables por distintos certificados.</w:t>
            </w:r>
          </w:p>
        </w:tc>
      </w:tr>
      <w:tr>
        <w:trPr>
          <w:cantSplit/>
        </w:trPr>
        <w:tc>
          <w:tcPr>
            <w:tcW w:type="dxa" w:w="3300"/>
          </w:tcPr>
          <w:p>
            <w:pPr>
              <w:spacing w:after="0" w:line="252" w:lineRule="auto"/>
            </w:pPr>
            <w:r>
              <w:rPr>
                <w:rFonts w:ascii="Calibri" w:hAnsi="Calibri"/>
                <w:color w:val="13233A"/>
                <w:sz w:val="15"/>
              </w:rPr>
              <w:t>views/NuevoCertificado/components/NuevoCertificado/TitularesList.tsx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Alta, edición y eliminación de los titulares del certificado.</w:t>
            </w:r>
          </w:p>
        </w:tc>
      </w:tr>
      <w:tr>
        <w:trPr>
          <w:cantSplit/>
        </w:trPr>
        <w:tc>
          <w:tcPr>
            <w:tcW w:type="dxa" w:w="3300"/>
          </w:tcPr>
          <w:p>
            <w:pPr>
              <w:spacing w:after="0" w:line="252" w:lineRule="auto"/>
            </w:pPr>
            <w:r>
              <w:rPr>
                <w:rFonts w:ascii="Calibri" w:hAnsi="Calibri"/>
                <w:color w:val="13233A"/>
                <w:sz w:val="15"/>
              </w:rPr>
              <w:t>views/NuevoCertificado/components/NuevoCertificado/VehiculoStep.tsx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Formulario técnico general y selector del subformulario GLP, GNV o conformidad.</w:t>
            </w:r>
          </w:p>
        </w:tc>
      </w:tr>
      <w:tr>
        <w:trPr>
          <w:cantSplit/>
        </w:trPr>
        <w:tc>
          <w:tcPr>
            <w:tcW w:type="dxa" w:w="3300"/>
          </w:tcPr>
          <w:p>
            <w:pPr>
              <w:spacing w:after="0" w:line="252" w:lineRule="auto"/>
            </w:pPr>
            <w:r>
              <w:rPr>
                <w:rFonts w:ascii="Calibri" w:hAnsi="Calibri"/>
                <w:color w:val="13233A"/>
                <w:sz w:val="15"/>
              </w:rPr>
              <w:t>views/NuevoCertificado/components/NuevoCertificado/VerificacionStep.tsx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Resumen y validación integral previa a la emisión.</w:t>
            </w:r>
          </w:p>
        </w:tc>
      </w:tr>
      <w:tr>
        <w:trPr>
          <w:cantSplit/>
        </w:trPr>
        <w:tc>
          <w:tcPr>
            <w:tcW w:type="dxa" w:w="3300"/>
          </w:tcPr>
          <w:p>
            <w:pPr>
              <w:spacing w:after="0" w:line="252" w:lineRule="auto"/>
            </w:pPr>
            <w:r>
              <w:rPr>
                <w:rFonts w:ascii="Calibri" w:hAnsi="Calibri"/>
                <w:color w:val="13233A"/>
                <w:sz w:val="15"/>
              </w:rPr>
              <w:t>views/NuevoCertificado/faregas-wizard.validation.ts</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Validaciones centralizadas del wizard antes de avanzar o guardar cada etapa.</w:t>
            </w:r>
          </w:p>
        </w:tc>
      </w:tr>
      <w:tr>
        <w:trPr>
          <w:cantSplit/>
        </w:trPr>
        <w:tc>
          <w:tcPr>
            <w:tcW w:type="dxa" w:w="3300"/>
          </w:tcPr>
          <w:p>
            <w:pPr>
              <w:spacing w:after="0" w:line="252" w:lineRule="auto"/>
            </w:pPr>
            <w:r>
              <w:rPr>
                <w:rFonts w:ascii="Calibri" w:hAnsi="Calibri"/>
                <w:color w:val="13233A"/>
                <w:sz w:val="15"/>
              </w:rPr>
              <w:t>views/NuevoCertificado/NuevoCertificadoView.tsx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Orquestador del wizard completo: estado, autosave, navegación y coordinación de todos los pasos.</w:t>
            </w:r>
          </w:p>
        </w:tc>
      </w:tr>
      <w:tr>
        <w:trPr>
          <w:cantSplit/>
        </w:trPr>
        <w:tc>
          <w:tcPr>
            <w:tcW w:type="dxa" w:w="3300"/>
          </w:tcPr>
          <w:p>
            <w:pPr>
              <w:spacing w:after="0" w:line="252" w:lineRule="auto"/>
            </w:pPr>
            <w:r>
              <w:rPr>
                <w:rFonts w:ascii="Calibri" w:hAnsi="Calibri"/>
                <w:color w:val="13233A"/>
                <w:sz w:val="15"/>
              </w:rPr>
              <w:t>views/SeleccionPlanta/SeleccionPlantaView.tsx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Paso posterior al login para seleccionar la sede operativa autorizada.</w:t>
            </w:r>
          </w:p>
        </w:tc>
      </w:tr>
      <w:tr>
        <w:trPr>
          <w:cantSplit/>
        </w:trPr>
        <w:tc>
          <w:tcPr>
            <w:tcW w:type="dxa" w:w="3300"/>
          </w:tcPr>
          <w:p>
            <w:pPr>
              <w:spacing w:after="0" w:line="252" w:lineRule="auto"/>
            </w:pPr>
            <w:r>
              <w:rPr>
                <w:rFonts w:ascii="Calibri" w:hAnsi="Calibri"/>
                <w:color w:val="13233A"/>
                <w:sz w:val="15"/>
              </w:rPr>
              <w:t>views/Usuarios/UsuariosView.tsx</w:t>
            </w:r>
          </w:p>
        </w:tc>
        <w:tc>
          <w:tcPr>
            <w:tcW w:type="dxa" w:w="1200"/>
          </w:tcPr>
          <w:p>
            <w:pPr>
              <w:spacing w:after="0" w:line="252" w:lineRule="auto"/>
            </w:pPr>
            <w:r>
              <w:rPr>
                <w:rFonts w:ascii="Calibri" w:hAnsi="Calibri"/>
                <w:color w:val="13233A"/>
                <w:sz w:val="15"/>
              </w:rPr>
              <w:t>views</w:t>
            </w:r>
          </w:p>
        </w:tc>
        <w:tc>
          <w:tcPr>
            <w:tcW w:type="dxa" w:w="4860"/>
          </w:tcPr>
          <w:p>
            <w:pPr>
              <w:spacing w:after="0" w:line="252" w:lineRule="auto"/>
            </w:pPr>
            <w:r>
              <w:rPr>
                <w:rFonts w:ascii="Calibri" w:hAnsi="Calibri"/>
                <w:color w:val="13233A"/>
                <w:sz w:val="15"/>
              </w:rPr>
              <w:t>Administración de usuarios, perfiles, permisos y asignaciones de plantas.</w:t>
            </w:r>
          </w:p>
        </w:tc>
      </w:tr>
    </w:tbl>
    <w:p>
      <w:pPr>
        <w:spacing w:after="0"/>
      </w:pPr>
    </w:p>
    <w:p>
      <w:pPr>
        <w:pStyle w:val="Heading1"/>
      </w:pPr>
      <w:r>
        <w:t>3. Arquitectura de archivos del backend</w:t>
      </w:r>
    </w:p>
    <w:tbl>
      <w:tblPr>
        <w:tblW w:type="dxa" w:w="9360"/>
        <w:jc w:val="left"/>
        <w:tblLayout w:type="fixed"/>
        <w:tblLook w:firstColumn="1" w:firstRow="1" w:lastColumn="0" w:lastRow="0" w:noHBand="0" w:noVBand="1" w:val="04A0"/>
        <w:tblInd w:w="120" w:type="dxa"/>
        <w:tblBorders>
          <w:top w:val="single" w:sz="8" w:color="0A3D91"/>
          <w:left w:val="single" w:sz="8" w:color="0A3D91"/>
          <w:bottom w:val="single" w:sz="8" w:color="0A3D91"/>
          <w:right w:val="single" w:sz="8" w:color="0A3D91"/>
          <w:insideH w:val="single" w:sz="8" w:color="0A3D91"/>
          <w:insideV w:val="single" w:sz="8" w:color="0A3D91"/>
        </w:tblBorders>
      </w:tblPr>
      <w:tblGrid>
        <w:gridCol w:w="9360"/>
      </w:tblGrid>
      <w:tr>
        <w:tc>
          <w:tcPr>
            <w:tcW w:type="dxa" w:w="9360"/>
            <w:tcMar>
              <w:top w:w="80" w:type="dxa"/>
              <w:start w:w="120" w:type="dxa"/>
              <w:bottom w:w="80" w:type="dxa"/>
              <w:end w:w="120" w:type="dxa"/>
            </w:tcMar>
            <w:vAlign w:val="center"/>
            <w:shd w:fill="F3F7FC"/>
          </w:tcPr>
          <w:p>
            <w:pPr>
              <w:spacing w:after="60"/>
            </w:pPr>
            <w:r>
              <w:rPr>
                <w:rFonts w:ascii="Calibri" w:hAnsi="Calibri"/>
                <w:b/>
                <w:color w:val="0A3D91"/>
                <w:sz w:val="21"/>
              </w:rPr>
              <w:t>Raíz funcional</w:t>
            </w:r>
          </w:p>
          <w:p>
            <w:pPr>
              <w:spacing w:after="0" w:line="288" w:lineRule="auto"/>
            </w:pPr>
            <w:r>
              <w:rPr>
                <w:rFonts w:ascii="Calibri" w:hAnsi="Calibri"/>
                <w:color w:val="13233A"/>
                <w:sz w:val="20"/>
              </w:rPr>
              <w:t>farenetBackend/modules/faregas. El módulo usa rutas, controladores y servicios; no mantiene una carpeta models separada porque las consultas están encapsuladas actualmente en los servicios. Esto es una decisión real del código actual, no una omisión del documento.</w:t>
            </w:r>
          </w:p>
        </w:tc>
      </w:tr>
    </w:tbl>
    <w:p>
      <w:pPr>
        <w:spacing w:after="0"/>
      </w:pPr>
    </w:p>
    <w:p>
      <w:pPr>
        <w:pStyle w:val="Heading2"/>
      </w:pPr>
      <w:r>
        <w:t>3.1 Árbol actual</w:t>
      </w:r>
    </w:p>
    <w:tbl>
      <w:tblPr>
        <w:tblW w:type="dxa" w:w="9360"/>
        <w:jc w:val="left"/>
        <w:tblLayout w:type="fixed"/>
        <w:tblLook w:firstColumn="1" w:firstRow="1" w:lastColumn="0" w:lastRow="0" w:noHBand="0" w:noVBand="1" w:val="04A0"/>
        <w:tblInd w:w="120" w:type="dxa"/>
        <w:tblBorders>
          <w:top w:val="single" w:sz="5" w:color="B9C7D8"/>
          <w:left w:val="single" w:sz="5" w:color="B9C7D8"/>
          <w:bottom w:val="single" w:sz="5" w:color="B9C7D8"/>
          <w:right w:val="single" w:sz="5" w:color="B9C7D8"/>
          <w:insideH w:val="single" w:sz="5" w:color="B9C7D8"/>
          <w:insideV w:val="single" w:sz="5" w:color="B9C7D8"/>
        </w:tblBorders>
      </w:tblPr>
      <w:tblGrid>
        <w:gridCol w:w="9360"/>
      </w:tblGrid>
      <w:tr>
        <w:tc>
          <w:tcPr>
            <w:tcW w:type="dxa" w:w="9360"/>
            <w:tcMar>
              <w:top w:w="80" w:type="dxa"/>
              <w:start w:w="120" w:type="dxa"/>
              <w:bottom w:w="80" w:type="dxa"/>
              <w:end w:w="120" w:type="dxa"/>
            </w:tcMar>
            <w:vAlign w:val="center"/>
            <w:shd w:fill="F6F8FB"/>
          </w:tcPr>
          <w:p>
            <w:pPr>
              <w:spacing w:after="0" w:line="240" w:lineRule="auto"/>
            </w:pPr>
            <w:r>
              <w:rPr>
                <w:rFonts w:ascii="Consolas" w:hAnsi="Consolas"/>
                <w:color w:val="26364A"/>
                <w:sz w:val="13"/>
              </w:rPr>
              <w:t>modules/faregas</w:t>
            </w:r>
            <w:r>
              <w:br/>
            </w:r>
            <w:r>
              <w:rPr>
                <w:rFonts w:ascii="Consolas" w:hAnsi="Consolas"/>
                <w:color w:val="26364A"/>
                <w:sz w:val="13"/>
              </w:rPr>
              <w:t>├── certificados</w:t>
            </w:r>
            <w:r>
              <w:br/>
            </w:r>
            <w:r>
              <w:rPr>
                <w:rFonts w:ascii="Consolas" w:hAnsi="Consolas"/>
                <w:color w:val="26364A"/>
                <w:sz w:val="13"/>
              </w:rPr>
              <w:t>│   ├── 000001-BSX640-GLP ANUAL.pdf</w:t>
            </w:r>
            <w:r>
              <w:br/>
            </w:r>
            <w:r>
              <w:rPr>
                <w:rFonts w:ascii="Consolas" w:hAnsi="Consolas"/>
                <w:color w:val="26364A"/>
                <w:sz w:val="13"/>
              </w:rPr>
              <w:t>│   ├── 000001-CHS268-ANUAL GNV.pdf</w:t>
            </w:r>
            <w:r>
              <w:br/>
            </w:r>
            <w:r>
              <w:rPr>
                <w:rFonts w:ascii="Consolas" w:hAnsi="Consolas"/>
                <w:color w:val="26364A"/>
                <w:sz w:val="13"/>
              </w:rPr>
              <w:t>│   ├── conformidad.pdf</w:t>
            </w:r>
            <w:r>
              <w:br/>
            </w:r>
            <w:r>
              <w:rPr>
                <w:rFonts w:ascii="Consolas" w:hAnsi="Consolas"/>
                <w:color w:val="26364A"/>
                <w:sz w:val="13"/>
              </w:rPr>
              <w:t>│   ├── GLP INICIAL.pdf</w:t>
            </w:r>
            <w:r>
              <w:br/>
            </w:r>
            <w:r>
              <w:rPr>
                <w:rFonts w:ascii="Consolas" w:hAnsi="Consolas"/>
                <w:color w:val="26364A"/>
                <w:sz w:val="13"/>
              </w:rPr>
              <w:t>│   └── GNV INICIAL.pdf</w:t>
            </w:r>
            <w:r>
              <w:br/>
            </w:r>
            <w:r>
              <w:rPr>
                <w:rFonts w:ascii="Consolas" w:hAnsi="Consolas"/>
                <w:color w:val="26364A"/>
                <w:sz w:val="13"/>
              </w:rPr>
              <w:t>├── controllers</w:t>
            </w:r>
            <w:r>
              <w:br/>
            </w:r>
            <w:r>
              <w:rPr>
                <w:rFonts w:ascii="Consolas" w:hAnsi="Consolas"/>
                <w:color w:val="26364A"/>
                <w:sz w:val="13"/>
              </w:rPr>
              <w:t>│   ├── faregas-auditoria.controller.js</w:t>
            </w:r>
            <w:r>
              <w:br/>
            </w:r>
            <w:r>
              <w:rPr>
                <w:rFonts w:ascii="Consolas" w:hAnsi="Consolas"/>
                <w:color w:val="26364A"/>
                <w:sz w:val="13"/>
              </w:rPr>
              <w:t>│   ├── faregas-auth.controller.js</w:t>
            </w:r>
            <w:r>
              <w:br/>
            </w:r>
            <w:r>
              <w:rPr>
                <w:rFonts w:ascii="Consolas" w:hAnsi="Consolas"/>
                <w:color w:val="26364A"/>
                <w:sz w:val="13"/>
              </w:rPr>
              <w:t>│   ├── faregas-certificados.controller.js</w:t>
            </w:r>
            <w:r>
              <w:br/>
            </w:r>
            <w:r>
              <w:rPr>
                <w:rFonts w:ascii="Consolas" w:hAnsi="Consolas"/>
                <w:color w:val="26364A"/>
                <w:sz w:val="13"/>
              </w:rPr>
              <w:t>│   ├── faregas-clientes.controller.js</w:t>
            </w:r>
            <w:r>
              <w:br/>
            </w:r>
            <w:r>
              <w:rPr>
                <w:rFonts w:ascii="Consolas" w:hAnsi="Consolas"/>
                <w:color w:val="26364A"/>
                <w:sz w:val="13"/>
              </w:rPr>
              <w:t>│   ├── faregas-config.controller.js</w:t>
            </w:r>
            <w:r>
              <w:br/>
            </w:r>
            <w:r>
              <w:rPr>
                <w:rFonts w:ascii="Consolas" w:hAnsi="Consolas"/>
                <w:color w:val="26364A"/>
                <w:sz w:val="13"/>
              </w:rPr>
              <w:t>│   ├── faregas-descuentos.controller.js</w:t>
            </w:r>
            <w:r>
              <w:br/>
            </w:r>
            <w:r>
              <w:rPr>
                <w:rFonts w:ascii="Consolas" w:hAnsi="Consolas"/>
                <w:color w:val="26364A"/>
                <w:sz w:val="13"/>
              </w:rPr>
              <w:t>│   ├── faregas-facturacion.controller.js</w:t>
            </w:r>
            <w:r>
              <w:br/>
            </w:r>
            <w:r>
              <w:rPr>
                <w:rFonts w:ascii="Consolas" w:hAnsi="Consolas"/>
                <w:color w:val="26364A"/>
                <w:sz w:val="13"/>
              </w:rPr>
              <w:t>│   ├── faregas-pagos.controller.js</w:t>
            </w:r>
            <w:r>
              <w:br/>
            </w:r>
            <w:r>
              <w:rPr>
                <w:rFonts w:ascii="Consolas" w:hAnsi="Consolas"/>
                <w:color w:val="26364A"/>
                <w:sz w:val="13"/>
              </w:rPr>
              <w:t>│   ├── faregas-productos.controller.js</w:t>
            </w:r>
            <w:r>
              <w:br/>
            </w:r>
            <w:r>
              <w:rPr>
                <w:rFonts w:ascii="Consolas" w:hAnsi="Consolas"/>
                <w:color w:val="26364A"/>
                <w:sz w:val="13"/>
              </w:rPr>
              <w:t>│   ├── faregas-series.controller.js</w:t>
            </w:r>
            <w:r>
              <w:br/>
            </w:r>
            <w:r>
              <w:rPr>
                <w:rFonts w:ascii="Consolas" w:hAnsi="Consolas"/>
                <w:color w:val="26364A"/>
                <w:sz w:val="13"/>
              </w:rPr>
              <w:t>│   ├── faregas-tarifas-admin.controller.js</w:t>
            </w:r>
            <w:r>
              <w:br/>
            </w:r>
            <w:r>
              <w:rPr>
                <w:rFonts w:ascii="Consolas" w:hAnsi="Consolas"/>
                <w:color w:val="26364A"/>
                <w:sz w:val="13"/>
              </w:rPr>
              <w:t>│   ├── faregas-tarifas.controller.js</w:t>
            </w:r>
            <w:r>
              <w:br/>
            </w:r>
            <w:r>
              <w:rPr>
                <w:rFonts w:ascii="Consolas" w:hAnsi="Consolas"/>
                <w:color w:val="26364A"/>
                <w:sz w:val="13"/>
              </w:rPr>
              <w:t>│   ├── faregas-usuarios.controller.js</w:t>
            </w:r>
            <w:r>
              <w:br/>
            </w:r>
            <w:r>
              <w:rPr>
                <w:rFonts w:ascii="Consolas" w:hAnsi="Consolas"/>
                <w:color w:val="26364A"/>
                <w:sz w:val="13"/>
              </w:rPr>
              <w:t>│   └── health.controller.js</w:t>
            </w:r>
            <w:r>
              <w:br/>
            </w:r>
            <w:r>
              <w:rPr>
                <w:rFonts w:ascii="Consolas" w:hAnsi="Consolas"/>
                <w:color w:val="26364A"/>
                <w:sz w:val="13"/>
              </w:rPr>
              <w:t>├── database</w:t>
            </w:r>
            <w:r>
              <w:br/>
            </w:r>
            <w:r>
              <w:rPr>
                <w:rFonts w:ascii="Consolas" w:hAnsi="Consolas"/>
                <w:color w:val="26364A"/>
                <w:sz w:val="13"/>
              </w:rPr>
              <w:t>│   ├── migrations</w:t>
            </w:r>
            <w:r>
              <w:br/>
            </w:r>
            <w:r>
              <w:rPr>
                <w:rFonts w:ascii="Consolas" w:hAnsi="Consolas"/>
                <w:color w:val="26364A"/>
                <w:sz w:val="13"/>
              </w:rPr>
              <w:t>│   │   ├── 20260817_faregas_facturacion.sql</w:t>
            </w:r>
            <w:r>
              <w:br/>
            </w:r>
            <w:r>
              <w:rPr>
                <w:rFonts w:ascii="Consolas" w:hAnsi="Consolas"/>
                <w:color w:val="26364A"/>
                <w:sz w:val="13"/>
              </w:rPr>
              <w:t>│   │   ├── 20260817_faregas_pagos.sql</w:t>
            </w:r>
            <w:r>
              <w:br/>
            </w:r>
            <w:r>
              <w:rPr>
                <w:rFonts w:ascii="Consolas" w:hAnsi="Consolas"/>
                <w:color w:val="26364A"/>
                <w:sz w:val="13"/>
              </w:rPr>
              <w:t>│   │   ├── 20260824_faregas_borradores_persistentes.sql</w:t>
            </w:r>
            <w:r>
              <w:br/>
            </w:r>
            <w:r>
              <w:rPr>
                <w:rFonts w:ascii="Consolas" w:hAnsi="Consolas"/>
                <w:color w:val="26364A"/>
                <w:sz w:val="13"/>
              </w:rPr>
              <w:t>│   │   ├── 20260824_faregas_categorias_servicios_tarifas.sql</w:t>
            </w:r>
            <w:r>
              <w:br/>
            </w:r>
            <w:r>
              <w:rPr>
                <w:rFonts w:ascii="Consolas" w:hAnsi="Consolas"/>
                <w:color w:val="26364A"/>
                <w:sz w:val="13"/>
              </w:rPr>
              <w:t>│   │   ├── 20260824_faregas_panel_historial_fechas.sql</w:t>
            </w:r>
            <w:r>
              <w:br/>
            </w:r>
            <w:r>
              <w:rPr>
                <w:rFonts w:ascii="Consolas" w:hAnsi="Consolas"/>
                <w:color w:val="26364A"/>
                <w:sz w:val="13"/>
              </w:rPr>
              <w:t>│   │   ├── 20260824_faregas_productos_facturacion.sql</w:t>
            </w:r>
            <w:r>
              <w:br/>
            </w:r>
            <w:r>
              <w:rPr>
                <w:rFonts w:ascii="Consolas" w:hAnsi="Consolas"/>
                <w:color w:val="26364A"/>
                <w:sz w:val="13"/>
              </w:rPr>
              <w:t>│   │   ├── 20260824_faregas_reorden_wizard_previsualizacion.sql</w:t>
            </w:r>
            <w:r>
              <w:br/>
            </w:r>
            <w:r>
              <w:rPr>
                <w:rFonts w:ascii="Consolas" w:hAnsi="Consolas"/>
                <w:color w:val="26364A"/>
                <w:sz w:val="13"/>
              </w:rPr>
              <w:t>│   │   ├── 20260824_faregas_series_comprobante.sql</w:t>
            </w:r>
            <w:r>
              <w:br/>
            </w:r>
            <w:r>
              <w:rPr>
                <w:rFonts w:ascii="Consolas" w:hAnsi="Consolas"/>
                <w:color w:val="26364A"/>
                <w:sz w:val="13"/>
              </w:rPr>
              <w:t>│   │   ├── 20260824_faregas_tarifas_administrables.sql</w:t>
            </w:r>
            <w:r>
              <w:br/>
            </w:r>
            <w:r>
              <w:rPr>
                <w:rFonts w:ascii="Consolas" w:hAnsi="Consolas"/>
                <w:color w:val="26364A"/>
                <w:sz w:val="13"/>
              </w:rPr>
              <w:t>│   │   ├── 20260824_faregas_tipo_flujo_servicio.sql</w:t>
            </w:r>
            <w:r>
              <w:br/>
            </w:r>
            <w:r>
              <w:rPr>
                <w:rFonts w:ascii="Consolas" w:hAnsi="Consolas"/>
                <w:color w:val="26364A"/>
                <w:sz w:val="13"/>
              </w:rPr>
              <w:t>│   │   ├── 20260825_faregas_descuentos.sql</w:t>
            </w:r>
            <w:r>
              <w:br/>
            </w:r>
            <w:r>
              <w:rPr>
                <w:rFonts w:ascii="Consolas" w:hAnsi="Consolas"/>
                <w:color w:val="26364A"/>
                <w:sz w:val="13"/>
              </w:rPr>
              <w:t>│   │   ├── 20260825_faregas_empresa_ruc_unico.sql</w:t>
            </w:r>
            <w:r>
              <w:br/>
            </w:r>
            <w:r>
              <w:rPr>
                <w:rFonts w:ascii="Consolas" w:hAnsi="Consolas"/>
                <w:color w:val="26364A"/>
                <w:sz w:val="13"/>
              </w:rPr>
              <w:t>│   │   ├── 20260825_faregas_empresas_plantas.sql</w:t>
            </w:r>
            <w:r>
              <w:br/>
            </w:r>
            <w:r>
              <w:rPr>
                <w:rFonts w:ascii="Consolas" w:hAnsi="Consolas"/>
                <w:color w:val="26364A"/>
                <w:sz w:val="13"/>
              </w:rPr>
              <w:t>│   │   ├── 20260825_faregas_notas_credito_debito.sql</w:t>
            </w:r>
            <w:r>
              <w:br/>
            </w:r>
            <w:r>
              <w:rPr>
                <w:rFonts w:ascii="Consolas" w:hAnsi="Consolas"/>
                <w:color w:val="26364A"/>
                <w:sz w:val="13"/>
              </w:rPr>
              <w:t>│   │   ├── 20260825_faregas_operacion_comercial_9a.sql</w:t>
            </w:r>
            <w:r>
              <w:br/>
            </w:r>
            <w:r>
              <w:rPr>
                <w:rFonts w:ascii="Consolas" w:hAnsi="Consolas"/>
                <w:color w:val="26364A"/>
                <w:sz w:val="13"/>
              </w:rPr>
              <w:t>│   │   ├── 20260825_faregas_series_notas_por_referencia.sql</w:t>
            </w:r>
            <w:r>
              <w:br/>
            </w:r>
            <w:r>
              <w:rPr>
                <w:rFonts w:ascii="Consolas" w:hAnsi="Consolas"/>
                <w:color w:val="26364A"/>
                <w:sz w:val="13"/>
              </w:rPr>
              <w:t>│   │   ├── 20260826_faregas_descuentos_reglas_por_codigo.sql</w:t>
            </w:r>
            <w:r>
              <w:br/>
            </w:r>
            <w:r>
              <w:rPr>
                <w:rFonts w:ascii="Consolas" w:hAnsi="Consolas"/>
                <w:color w:val="26364A"/>
                <w:sz w:val="13"/>
              </w:rPr>
              <w:t>│   │   ├── 20260826_faregas_descuentos_reglas_por_sede_servicio.sql</w:t>
            </w:r>
            <w:r>
              <w:br/>
            </w:r>
            <w:r>
              <w:rPr>
                <w:rFonts w:ascii="Consolas" w:hAnsi="Consolas"/>
                <w:color w:val="26364A"/>
                <w:sz w:val="13"/>
              </w:rPr>
              <w:t>│   │   ├── 20260826_faregas_descuentos_zz_reglas_compartidas.sql</w:t>
            </w:r>
            <w:r>
              <w:br/>
            </w:r>
            <w:r>
              <w:rPr>
                <w:rFonts w:ascii="Consolas" w:hAnsi="Consolas"/>
                <w:color w:val="26364A"/>
                <w:sz w:val="13"/>
              </w:rPr>
              <w:t>│   │   ├── 20260827_faregas_auditoria_operativa.sql</w:t>
            </w:r>
            <w:r>
              <w:br/>
            </w:r>
            <w:r>
              <w:rPr>
                <w:rFonts w:ascii="Consolas" w:hAnsi="Consolas"/>
                <w:color w:val="26364A"/>
                <w:sz w:val="13"/>
              </w:rPr>
              <w:t>│   │   ├── 20260827_faregas_correlativos_por_modalidad.sql</w:t>
            </w:r>
            <w:r>
              <w:br/>
            </w:r>
            <w:r>
              <w:rPr>
                <w:rFonts w:ascii="Consolas" w:hAnsi="Consolas"/>
                <w:color w:val="26364A"/>
                <w:sz w:val="13"/>
              </w:rPr>
              <w:t>│   │   ├── 20260827_faregas_correlativos_temporales_desarrollo.sql</w:t>
            </w:r>
            <w:r>
              <w:br/>
            </w:r>
            <w:r>
              <w:rPr>
                <w:rFonts w:ascii="Consolas" w:hAnsi="Consolas"/>
                <w:color w:val="26364A"/>
                <w:sz w:val="13"/>
              </w:rPr>
              <w:t>│   │   ├── 20260827_faregas_descuentos_ejecutivo.sql</w:t>
            </w:r>
            <w:r>
              <w:br/>
            </w:r>
            <w:r>
              <w:rPr>
                <w:rFonts w:ascii="Consolas" w:hAnsi="Consolas"/>
                <w:color w:val="26364A"/>
                <w:sz w:val="13"/>
              </w:rPr>
              <w:t>│   │   ├── 20260827_faregas_ejecutivos.sql</w:t>
            </w:r>
            <w:r>
              <w:br/>
            </w:r>
            <w:r>
              <w:rPr>
                <w:rFonts w:ascii="Consolas" w:hAnsi="Consolas"/>
                <w:color w:val="26364A"/>
                <w:sz w:val="13"/>
              </w:rPr>
              <w:t>│   │   └── 20260827_faregas_tipos_campana.sql</w:t>
            </w:r>
            <w:r>
              <w:br/>
            </w:r>
            <w:r>
              <w:rPr>
                <w:rFonts w:ascii="Consolas" w:hAnsi="Consolas"/>
                <w:color w:val="26364A"/>
                <w:sz w:val="13"/>
              </w:rPr>
              <w:t>│   ├── scripts</w:t>
            </w:r>
            <w:r>
              <w:br/>
            </w:r>
            <w:r>
              <w:rPr>
                <w:rFonts w:ascii="Consolas" w:hAnsi="Consolas"/>
                <w:color w:val="26364A"/>
                <w:sz w:val="13"/>
              </w:rPr>
              <w:t>│   │   └── import_faregas_productos.js</w:t>
            </w:r>
            <w:r>
              <w:br/>
            </w:r>
            <w:r>
              <w:rPr>
                <w:rFonts w:ascii="Consolas" w:hAnsi="Consolas"/>
                <w:color w:val="26364A"/>
                <w:sz w:val="13"/>
              </w:rPr>
              <w:t>│   └── seeds</w:t>
            </w:r>
            <w:r>
              <w:br/>
            </w:r>
            <w:r>
              <w:rPr>
                <w:rFonts w:ascii="Consolas" w:hAnsi="Consolas"/>
                <w:color w:val="26364A"/>
                <w:sz w:val="13"/>
              </w:rPr>
              <w:t>│       └── faregas_productos_20260819.json</w:t>
            </w:r>
            <w:r>
              <w:br/>
            </w:r>
            <w:r>
              <w:rPr>
                <w:rFonts w:ascii="Consolas" w:hAnsi="Consolas"/>
                <w:color w:val="26364A"/>
                <w:sz w:val="13"/>
              </w:rPr>
              <w:t>├── integrations</w:t>
            </w:r>
            <w:r>
              <w:br/>
            </w:r>
            <w:r>
              <w:rPr>
                <w:rFonts w:ascii="Consolas" w:hAnsi="Consolas"/>
                <w:color w:val="26364A"/>
                <w:sz w:val="13"/>
              </w:rPr>
              <w:t>│   ├── farenet-read.adapter.js</w:t>
            </w:r>
            <w:r>
              <w:br/>
            </w:r>
            <w:r>
              <w:rPr>
                <w:rFonts w:ascii="Consolas" w:hAnsi="Consolas"/>
                <w:color w:val="26364A"/>
                <w:sz w:val="13"/>
              </w:rPr>
              <w:t>│   └── nubefact-faregas.adapter.js</w:t>
            </w:r>
            <w:r>
              <w:br/>
            </w:r>
            <w:r>
              <w:rPr>
                <w:rFonts w:ascii="Consolas" w:hAnsi="Consolas"/>
                <w:color w:val="26364A"/>
                <w:sz w:val="13"/>
              </w:rPr>
              <w:t>├── mappers</w:t>
            </w:r>
            <w:r>
              <w:br/>
            </w:r>
            <w:r>
              <w:rPr>
                <w:rFonts w:ascii="Consolas" w:hAnsi="Consolas"/>
                <w:color w:val="26364A"/>
                <w:sz w:val="13"/>
              </w:rPr>
              <w:t>│   └── faregas-vehiculo.mapper.js</w:t>
            </w:r>
            <w:r>
              <w:br/>
            </w:r>
            <w:r>
              <w:rPr>
                <w:rFonts w:ascii="Consolas" w:hAnsi="Consolas"/>
                <w:color w:val="26364A"/>
                <w:sz w:val="13"/>
              </w:rPr>
              <w:t>├── middlewares</w:t>
            </w:r>
            <w:r>
              <w:br/>
            </w:r>
            <w:r>
              <w:rPr>
                <w:rFonts w:ascii="Consolas" w:hAnsi="Consolas"/>
                <w:color w:val="26364A"/>
                <w:sz w:val="13"/>
              </w:rPr>
              <w:t>│   ├── faregas-auditoria-operativa.middleware.js</w:t>
            </w:r>
            <w:r>
              <w:br/>
            </w:r>
            <w:r>
              <w:rPr>
                <w:rFonts w:ascii="Consolas" w:hAnsi="Consolas"/>
                <w:color w:val="26364A"/>
                <w:sz w:val="13"/>
              </w:rPr>
              <w:t>│   └── faregas-auth.middleware.js</w:t>
            </w:r>
            <w:r>
              <w:br/>
            </w:r>
            <w:r>
              <w:rPr>
                <w:rFonts w:ascii="Consolas" w:hAnsi="Consolas"/>
                <w:color w:val="26364A"/>
                <w:sz w:val="13"/>
              </w:rPr>
              <w:t>├── routes</w:t>
            </w:r>
            <w:r>
              <w:br/>
            </w:r>
            <w:r>
              <w:rPr>
                <w:rFonts w:ascii="Consolas" w:hAnsi="Consolas"/>
                <w:color w:val="26364A"/>
                <w:sz w:val="13"/>
              </w:rPr>
              <w:t>│   ├── faregas-auditoria.routes.js</w:t>
            </w:r>
            <w:r>
              <w:br/>
            </w:r>
            <w:r>
              <w:rPr>
                <w:rFonts w:ascii="Consolas" w:hAnsi="Consolas"/>
                <w:color w:val="26364A"/>
                <w:sz w:val="13"/>
              </w:rPr>
              <w:t>│   ├── faregas-auth.routes.js</w:t>
            </w:r>
            <w:r>
              <w:br/>
            </w:r>
            <w:r>
              <w:rPr>
                <w:rFonts w:ascii="Consolas" w:hAnsi="Consolas"/>
                <w:color w:val="26364A"/>
                <w:sz w:val="13"/>
              </w:rPr>
              <w:t>│   ├── faregas-certificados.routes.js</w:t>
            </w:r>
            <w:r>
              <w:br/>
            </w:r>
            <w:r>
              <w:rPr>
                <w:rFonts w:ascii="Consolas" w:hAnsi="Consolas"/>
                <w:color w:val="26364A"/>
                <w:sz w:val="13"/>
              </w:rPr>
              <w:t>│   ├── faregas-clientes.routes.js</w:t>
            </w:r>
            <w:r>
              <w:br/>
            </w:r>
            <w:r>
              <w:rPr>
                <w:rFonts w:ascii="Consolas" w:hAnsi="Consolas"/>
                <w:color w:val="26364A"/>
                <w:sz w:val="13"/>
              </w:rPr>
              <w:t>│   ├── faregas-config.routes.js</w:t>
            </w:r>
            <w:r>
              <w:br/>
            </w:r>
            <w:r>
              <w:rPr>
                <w:rFonts w:ascii="Consolas" w:hAnsi="Consolas"/>
                <w:color w:val="26364A"/>
                <w:sz w:val="13"/>
              </w:rPr>
              <w:t>│   ├── faregas-descuentos.routes.js</w:t>
            </w:r>
            <w:r>
              <w:br/>
            </w:r>
            <w:r>
              <w:rPr>
                <w:rFonts w:ascii="Consolas" w:hAnsi="Consolas"/>
                <w:color w:val="26364A"/>
                <w:sz w:val="13"/>
              </w:rPr>
              <w:t>│   ├── faregas-tarifas.routes.js</w:t>
            </w:r>
            <w:r>
              <w:br/>
            </w:r>
            <w:r>
              <w:rPr>
                <w:rFonts w:ascii="Consolas" w:hAnsi="Consolas"/>
                <w:color w:val="26364A"/>
                <w:sz w:val="13"/>
              </w:rPr>
              <w:t>│   ├── faregas-usuarios.routes.js</w:t>
            </w:r>
            <w:r>
              <w:br/>
            </w:r>
            <w:r>
              <w:rPr>
                <w:rFonts w:ascii="Consolas" w:hAnsi="Consolas"/>
                <w:color w:val="26364A"/>
                <w:sz w:val="13"/>
              </w:rPr>
              <w:t>│   └── faregas.routes.js</w:t>
            </w:r>
            <w:r>
              <w:br/>
            </w:r>
            <w:r>
              <w:rPr>
                <w:rFonts w:ascii="Consolas" w:hAnsi="Consolas"/>
                <w:color w:val="26364A"/>
                <w:sz w:val="13"/>
              </w:rPr>
              <w:t>├── scripts</w:t>
            </w:r>
            <w:r>
              <w:br/>
            </w:r>
            <w:r>
              <w:rPr>
                <w:rFonts w:ascii="Consolas" w:hAnsi="Consolas"/>
                <w:color w:val="26364A"/>
                <w:sz w:val="13"/>
              </w:rPr>
              <w:t>│   └── generate_docs.js</w:t>
            </w:r>
            <w:r>
              <w:br/>
            </w:r>
            <w:r>
              <w:rPr>
                <w:rFonts w:ascii="Consolas" w:hAnsi="Consolas"/>
                <w:color w:val="26364A"/>
                <w:sz w:val="13"/>
              </w:rPr>
              <w:t>├── services</w:t>
            </w:r>
            <w:r>
              <w:br/>
            </w:r>
            <w:r>
              <w:rPr>
                <w:rFonts w:ascii="Consolas" w:hAnsi="Consolas"/>
                <w:color w:val="26364A"/>
                <w:sz w:val="13"/>
              </w:rPr>
              <w:t>│   ├── faregas-auditoria.service.js</w:t>
            </w:r>
            <w:r>
              <w:br/>
            </w:r>
            <w:r>
              <w:rPr>
                <w:rFonts w:ascii="Consolas" w:hAnsi="Consolas"/>
                <w:color w:val="26364A"/>
                <w:sz w:val="13"/>
              </w:rPr>
              <w:t>│   ├── faregas-auth.service.js</w:t>
            </w:r>
            <w:r>
              <w:br/>
            </w:r>
            <w:r>
              <w:rPr>
                <w:rFonts w:ascii="Consolas" w:hAnsi="Consolas"/>
                <w:color w:val="26364A"/>
                <w:sz w:val="13"/>
              </w:rPr>
              <w:t>│   ├── faregas-certificados.service.js</w:t>
            </w:r>
            <w:r>
              <w:br/>
            </w:r>
            <w:r>
              <w:rPr>
                <w:rFonts w:ascii="Consolas" w:hAnsi="Consolas"/>
                <w:color w:val="26364A"/>
                <w:sz w:val="13"/>
              </w:rPr>
              <w:t>│   ├── faregas-clientes.service.js</w:t>
            </w:r>
            <w:r>
              <w:br/>
            </w:r>
            <w:r>
              <w:rPr>
                <w:rFonts w:ascii="Consolas" w:hAnsi="Consolas"/>
                <w:color w:val="26364A"/>
                <w:sz w:val="13"/>
              </w:rPr>
              <w:t>│   ├── faregas-config.service.js</w:t>
            </w:r>
            <w:r>
              <w:br/>
            </w:r>
            <w:r>
              <w:rPr>
                <w:rFonts w:ascii="Consolas" w:hAnsi="Consolas"/>
                <w:color w:val="26364A"/>
                <w:sz w:val="13"/>
              </w:rPr>
              <w:t>│   ├── faregas-descuentos.service.js</w:t>
            </w:r>
            <w:r>
              <w:br/>
            </w:r>
            <w:r>
              <w:rPr>
                <w:rFonts w:ascii="Consolas" w:hAnsi="Consolas"/>
                <w:color w:val="26364A"/>
                <w:sz w:val="13"/>
              </w:rPr>
              <w:t>│   ├── faregas-facturacion.rules.js</w:t>
            </w:r>
            <w:r>
              <w:br/>
            </w:r>
            <w:r>
              <w:rPr>
                <w:rFonts w:ascii="Consolas" w:hAnsi="Consolas"/>
                <w:color w:val="26364A"/>
                <w:sz w:val="13"/>
              </w:rPr>
              <w:t>│   ├── faregas-facturacion.service.js</w:t>
            </w:r>
            <w:r>
              <w:br/>
            </w:r>
            <w:r>
              <w:rPr>
                <w:rFonts w:ascii="Consolas" w:hAnsi="Consolas"/>
                <w:color w:val="26364A"/>
                <w:sz w:val="13"/>
              </w:rPr>
              <w:t>│   ├── faregas-pagos.rules.js</w:t>
            </w:r>
            <w:r>
              <w:br/>
            </w:r>
            <w:r>
              <w:rPr>
                <w:rFonts w:ascii="Consolas" w:hAnsi="Consolas"/>
                <w:color w:val="26364A"/>
                <w:sz w:val="13"/>
              </w:rPr>
              <w:t>│   ├── faregas-pagos.service.js</w:t>
            </w:r>
            <w:r>
              <w:br/>
            </w:r>
            <w:r>
              <w:rPr>
                <w:rFonts w:ascii="Consolas" w:hAnsi="Consolas"/>
                <w:color w:val="26364A"/>
                <w:sz w:val="13"/>
              </w:rPr>
              <w:t>│   ├── faregas-productos.service.js</w:t>
            </w:r>
            <w:r>
              <w:br/>
            </w:r>
            <w:r>
              <w:rPr>
                <w:rFonts w:ascii="Consolas" w:hAnsi="Consolas"/>
                <w:color w:val="26364A"/>
                <w:sz w:val="13"/>
              </w:rPr>
              <w:t>│   ├── faregas-series.service.js</w:t>
            </w:r>
            <w:r>
              <w:br/>
            </w:r>
            <w:r>
              <w:rPr>
                <w:rFonts w:ascii="Consolas" w:hAnsi="Consolas"/>
                <w:color w:val="26364A"/>
                <w:sz w:val="13"/>
              </w:rPr>
              <w:t>│   ├── faregas-tarifas-admin.service.js</w:t>
            </w:r>
            <w:r>
              <w:br/>
            </w:r>
            <w:r>
              <w:rPr>
                <w:rFonts w:ascii="Consolas" w:hAnsi="Consolas"/>
                <w:color w:val="26364A"/>
                <w:sz w:val="13"/>
              </w:rPr>
              <w:t>│   ├── faregas-tarifas.service.js</w:t>
            </w:r>
            <w:r>
              <w:br/>
            </w:r>
            <w:r>
              <w:rPr>
                <w:rFonts w:ascii="Consolas" w:hAnsi="Consolas"/>
                <w:color w:val="26364A"/>
                <w:sz w:val="13"/>
              </w:rPr>
              <w:t>│   └── faregas-usuarios.service.js</w:t>
            </w:r>
            <w:r>
              <w:br/>
            </w:r>
            <w:r>
              <w:rPr>
                <w:rFonts w:ascii="Consolas" w:hAnsi="Consolas"/>
                <w:color w:val="26364A"/>
                <w:sz w:val="13"/>
              </w:rPr>
              <w:t>├── templates</w:t>
            </w:r>
            <w:r>
              <w:br/>
            </w:r>
            <w:r>
              <w:rPr>
                <w:rFonts w:ascii="Consolas" w:hAnsi="Consolas"/>
                <w:color w:val="26364A"/>
                <w:sz w:val="13"/>
              </w:rPr>
              <w:t>│   ├── conformidad.template.js</w:t>
            </w:r>
            <w:r>
              <w:br/>
            </w:r>
            <w:r>
              <w:rPr>
                <w:rFonts w:ascii="Consolas" w:hAnsi="Consolas"/>
                <w:color w:val="26364A"/>
                <w:sz w:val="13"/>
              </w:rPr>
              <w:t>│   ├── glp-anual.template.js</w:t>
            </w:r>
            <w:r>
              <w:br/>
            </w:r>
            <w:r>
              <w:rPr>
                <w:rFonts w:ascii="Consolas" w:hAnsi="Consolas"/>
                <w:color w:val="26364A"/>
                <w:sz w:val="13"/>
              </w:rPr>
              <w:t>│   ├── glp-inicial.template.js</w:t>
            </w:r>
            <w:r>
              <w:br/>
            </w:r>
            <w:r>
              <w:rPr>
                <w:rFonts w:ascii="Consolas" w:hAnsi="Consolas"/>
                <w:color w:val="26364A"/>
                <w:sz w:val="13"/>
              </w:rPr>
              <w:t>│   ├── gnv-anual.template.js</w:t>
            </w:r>
            <w:r>
              <w:br/>
            </w:r>
            <w:r>
              <w:rPr>
                <w:rFonts w:ascii="Consolas" w:hAnsi="Consolas"/>
                <w:color w:val="26364A"/>
                <w:sz w:val="13"/>
              </w:rPr>
              <w:t>│   ├── gnv-inicial.template.js</w:t>
            </w:r>
            <w:r>
              <w:br/>
            </w:r>
            <w:r>
              <w:rPr>
                <w:rFonts w:ascii="Consolas" w:hAnsi="Consolas"/>
                <w:color w:val="26364A"/>
                <w:sz w:val="13"/>
              </w:rPr>
              <w:t>│   └── template-utils.js</w:t>
            </w:r>
            <w:r>
              <w:br/>
            </w:r>
            <w:r>
              <w:rPr>
                <w:rFonts w:ascii="Consolas" w:hAnsi="Consolas"/>
                <w:color w:val="26364A"/>
                <w:sz w:val="13"/>
              </w:rPr>
              <w:t>└── tests</w:t>
            </w:r>
            <w:r>
              <w:br/>
            </w:r>
            <w:r>
              <w:rPr>
                <w:rFonts w:ascii="Consolas" w:hAnsi="Consolas"/>
                <w:color w:val="26364A"/>
                <w:sz w:val="13"/>
              </w:rPr>
              <w:t xml:space="preserve">    ├── faregas-auditoria.service.test.js</w:t>
            </w:r>
            <w:r>
              <w:br/>
            </w:r>
            <w:r>
              <w:rPr>
                <w:rFonts w:ascii="Consolas" w:hAnsi="Consolas"/>
                <w:color w:val="26364A"/>
                <w:sz w:val="13"/>
              </w:rPr>
              <w:t xml:space="preserve">    ├── faregas-borradores-persistentes.test.js</w:t>
            </w:r>
            <w:r>
              <w:br/>
            </w:r>
            <w:r>
              <w:rPr>
                <w:rFonts w:ascii="Consolas" w:hAnsi="Consolas"/>
                <w:color w:val="26364A"/>
                <w:sz w:val="13"/>
              </w:rPr>
              <w:t xml:space="preserve">    ├── faregas-catalogo.integration.test.js</w:t>
            </w:r>
            <w:r>
              <w:br/>
            </w:r>
            <w:r>
              <w:rPr>
                <w:rFonts w:ascii="Consolas" w:hAnsi="Consolas"/>
                <w:color w:val="26364A"/>
                <w:sz w:val="13"/>
              </w:rPr>
              <w:t xml:space="preserve">    ├── faregas-catalogo.test.js</w:t>
            </w:r>
            <w:r>
              <w:br/>
            </w:r>
            <w:r>
              <w:rPr>
                <w:rFonts w:ascii="Consolas" w:hAnsi="Consolas"/>
                <w:color w:val="26364A"/>
                <w:sz w:val="13"/>
              </w:rPr>
              <w:t xml:space="preserve">    ├── faregas-certificado-catalogo.test.js</w:t>
            </w:r>
            <w:r>
              <w:br/>
            </w:r>
            <w:r>
              <w:rPr>
                <w:rFonts w:ascii="Consolas" w:hAnsi="Consolas"/>
                <w:color w:val="26364A"/>
                <w:sz w:val="13"/>
              </w:rPr>
              <w:t xml:space="preserve">    ├── faregas-config-flujo.test.js</w:t>
            </w:r>
            <w:r>
              <w:br/>
            </w:r>
            <w:r>
              <w:rPr>
                <w:rFonts w:ascii="Consolas" w:hAnsi="Consolas"/>
                <w:color w:val="26364A"/>
                <w:sz w:val="13"/>
              </w:rPr>
              <w:t xml:space="preserve">    ├── faregas-correlativos-modalidad.test.js</w:t>
            </w:r>
            <w:r>
              <w:br/>
            </w:r>
            <w:r>
              <w:rPr>
                <w:rFonts w:ascii="Consolas" w:hAnsi="Consolas"/>
                <w:color w:val="26364A"/>
                <w:sz w:val="13"/>
              </w:rPr>
              <w:t xml:space="preserve">    ├── faregas-descuentos-auditoria.controller.test.js</w:t>
            </w:r>
            <w:r>
              <w:br/>
            </w:r>
            <w:r>
              <w:rPr>
                <w:rFonts w:ascii="Consolas" w:hAnsi="Consolas"/>
                <w:color w:val="26364A"/>
                <w:sz w:val="13"/>
              </w:rPr>
              <w:t xml:space="preserve">    ├── faregas-empresas.controller.test.js</w:t>
            </w:r>
            <w:r>
              <w:br/>
            </w:r>
            <w:r>
              <w:rPr>
                <w:rFonts w:ascii="Consolas" w:hAnsi="Consolas"/>
                <w:color w:val="26364A"/>
                <w:sz w:val="13"/>
              </w:rPr>
              <w:t xml:space="preserve">    ├── faregas-facturacion.test.js</w:t>
            </w:r>
            <w:r>
              <w:br/>
            </w:r>
            <w:r>
              <w:rPr>
                <w:rFonts w:ascii="Consolas" w:hAnsi="Consolas"/>
                <w:color w:val="26364A"/>
                <w:sz w:val="13"/>
              </w:rPr>
              <w:t xml:space="preserve">    ├── faregas-flujo-guards.test.js</w:t>
            </w:r>
            <w:r>
              <w:br/>
            </w:r>
            <w:r>
              <w:rPr>
                <w:rFonts w:ascii="Consolas" w:hAnsi="Consolas"/>
                <w:color w:val="26364A"/>
                <w:sz w:val="13"/>
              </w:rPr>
              <w:t xml:space="preserve">    ├── faregas-pagos.service.test.js</w:t>
            </w:r>
            <w:r>
              <w:br/>
            </w:r>
            <w:r>
              <w:rPr>
                <w:rFonts w:ascii="Consolas" w:hAnsi="Consolas"/>
                <w:color w:val="26364A"/>
                <w:sz w:val="13"/>
              </w:rPr>
              <w:t xml:space="preserve">    ├── faregas-series.controller.test.js</w:t>
            </w:r>
            <w:r>
              <w:br/>
            </w:r>
            <w:r>
              <w:rPr>
                <w:rFonts w:ascii="Consolas" w:hAnsi="Consolas"/>
                <w:color w:val="26364A"/>
                <w:sz w:val="13"/>
              </w:rPr>
              <w:t xml:space="preserve">    ├── faregas-tarifas-admin.controller.test.js</w:t>
            </w:r>
            <w:r>
              <w:br/>
            </w:r>
            <w:r>
              <w:rPr>
                <w:rFonts w:ascii="Consolas" w:hAnsi="Consolas"/>
                <w:color w:val="26364A"/>
                <w:sz w:val="13"/>
              </w:rPr>
              <w:t xml:space="preserve">    └── faregas-vehiculo.mapper.test.js</w:t>
            </w:r>
          </w:p>
        </w:tc>
      </w:tr>
    </w:tbl>
    <w:p>
      <w:pPr>
        <w:spacing w:after="0"/>
      </w:pPr>
    </w:p>
    <w:p>
      <w:pPr>
        <w:pStyle w:val="Heading2"/>
      </w:pPr>
      <w:r>
        <w:t>3.2 Carpetas principales</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2200"/>
        <w:gridCol w:w="3000"/>
        <w:gridCol w:w="4160"/>
      </w:tblGrid>
      <w:tr>
        <w:trPr>
          <w:tblHeader w:val="true"/>
        </w:trPr>
        <w:tc>
          <w:tcPr>
            <w:tcW w:type="dxa" w:w="2200"/>
            <w:tcMar>
              <w:top w:w="80" w:type="dxa"/>
              <w:start w:w="120" w:type="dxa"/>
              <w:bottom w:w="80" w:type="dxa"/>
              <w:end w:w="120" w:type="dxa"/>
            </w:tcMar>
            <w:vAlign w:val="center"/>
            <w:shd w:fill="082B66"/>
          </w:tcPr>
          <w:p>
            <w:pPr>
              <w:spacing w:after="0"/>
            </w:pPr>
            <w:r>
              <w:rPr>
                <w:rFonts w:ascii="Calibri" w:hAnsi="Calibri"/>
                <w:b/>
                <w:color w:val="FFFFFF"/>
                <w:sz w:val="16"/>
              </w:rPr>
              <w:t>CARPETA</w:t>
            </w:r>
          </w:p>
        </w:tc>
        <w:tc>
          <w:tcPr>
            <w:tcW w:type="dxa" w:w="3000"/>
            <w:tcMar>
              <w:top w:w="80" w:type="dxa"/>
              <w:start w:w="120" w:type="dxa"/>
              <w:bottom w:w="80" w:type="dxa"/>
              <w:end w:w="120" w:type="dxa"/>
            </w:tcMar>
            <w:vAlign w:val="center"/>
            <w:shd w:fill="082B66"/>
          </w:tcPr>
          <w:p>
            <w:pPr>
              <w:spacing w:after="0"/>
            </w:pPr>
            <w:r>
              <w:rPr>
                <w:rFonts w:ascii="Calibri" w:hAnsi="Calibri"/>
                <w:b/>
                <w:color w:val="FFFFFF"/>
                <w:sz w:val="16"/>
              </w:rPr>
              <w:t>CONTENIDO</w:t>
            </w:r>
          </w:p>
        </w:tc>
        <w:tc>
          <w:tcPr>
            <w:tcW w:type="dxa" w:w="4160"/>
            <w:tcMar>
              <w:top w:w="80" w:type="dxa"/>
              <w:start w:w="120" w:type="dxa"/>
              <w:bottom w:w="80" w:type="dxa"/>
              <w:end w:w="120" w:type="dxa"/>
            </w:tcMar>
            <w:vAlign w:val="center"/>
            <w:shd w:fill="082B66"/>
          </w:tcPr>
          <w:p>
            <w:pPr>
              <w:spacing w:after="0"/>
            </w:pPr>
            <w:r>
              <w:rPr>
                <w:rFonts w:ascii="Calibri" w:hAnsi="Calibri"/>
                <w:b/>
                <w:color w:val="FFFFFF"/>
                <w:sz w:val="16"/>
              </w:rPr>
              <w:t>FUNCIÓN ARQUITECTÓNICA</w:t>
            </w:r>
          </w:p>
        </w:tc>
      </w:tr>
      <w:tr>
        <w:trPr>
          <w:cantSplit/>
        </w:trPr>
        <w:tc>
          <w:tcPr>
            <w:tcW w:type="dxa" w:w="2200"/>
          </w:tcPr>
          <w:p>
            <w:pPr>
              <w:spacing w:after="0" w:line="252" w:lineRule="auto"/>
            </w:pPr>
            <w:r>
              <w:rPr>
                <w:rFonts w:ascii="Calibri" w:hAnsi="Calibri"/>
                <w:color w:val="13233A"/>
                <w:sz w:val="17"/>
              </w:rPr>
              <w:t>routes/</w:t>
            </w:r>
          </w:p>
        </w:tc>
        <w:tc>
          <w:tcPr>
            <w:tcW w:type="dxa" w:w="3000"/>
          </w:tcPr>
          <w:p>
            <w:pPr>
              <w:spacing w:after="0" w:line="252" w:lineRule="auto"/>
            </w:pPr>
            <w:r>
              <w:rPr>
                <w:rFonts w:ascii="Calibri" w:hAnsi="Calibri"/>
                <w:color w:val="13233A"/>
                <w:sz w:val="17"/>
              </w:rPr>
              <w:t>Métodos y URLs /api/faregas.</w:t>
            </w:r>
          </w:p>
        </w:tc>
        <w:tc>
          <w:tcPr>
            <w:tcW w:type="dxa" w:w="4160"/>
          </w:tcPr>
          <w:p>
            <w:pPr>
              <w:spacing w:after="0" w:line="252" w:lineRule="auto"/>
            </w:pPr>
            <w:r>
              <w:rPr>
                <w:rFonts w:ascii="Calibri" w:hAnsi="Calibri"/>
                <w:color w:val="13233A"/>
                <w:sz w:val="17"/>
              </w:rPr>
              <w:t>Define acceso y middleware antes del controlador.</w:t>
            </w:r>
          </w:p>
        </w:tc>
      </w:tr>
      <w:tr>
        <w:trPr>
          <w:cantSplit/>
        </w:trPr>
        <w:tc>
          <w:tcPr>
            <w:tcW w:type="dxa" w:w="2200"/>
          </w:tcPr>
          <w:p>
            <w:pPr>
              <w:spacing w:after="0" w:line="252" w:lineRule="auto"/>
            </w:pPr>
            <w:r>
              <w:rPr>
                <w:rFonts w:ascii="Calibri" w:hAnsi="Calibri"/>
                <w:color w:val="13233A"/>
                <w:sz w:val="17"/>
              </w:rPr>
              <w:t>controllers/</w:t>
            </w:r>
          </w:p>
        </w:tc>
        <w:tc>
          <w:tcPr>
            <w:tcW w:type="dxa" w:w="3000"/>
          </w:tcPr>
          <w:p>
            <w:pPr>
              <w:spacing w:after="0" w:line="252" w:lineRule="auto"/>
            </w:pPr>
            <w:r>
              <w:rPr>
                <w:rFonts w:ascii="Calibri" w:hAnsi="Calibri"/>
                <w:color w:val="13233A"/>
                <w:sz w:val="17"/>
              </w:rPr>
              <w:t>Adaptación HTTP.</w:t>
            </w:r>
          </w:p>
        </w:tc>
        <w:tc>
          <w:tcPr>
            <w:tcW w:type="dxa" w:w="4160"/>
          </w:tcPr>
          <w:p>
            <w:pPr>
              <w:spacing w:after="0" w:line="252" w:lineRule="auto"/>
            </w:pPr>
            <w:r>
              <w:rPr>
                <w:rFonts w:ascii="Calibri" w:hAnsi="Calibri"/>
                <w:color w:val="13233A"/>
                <w:sz w:val="17"/>
              </w:rPr>
              <w:t>Convierte req/res y códigos de estado.</w:t>
            </w:r>
          </w:p>
        </w:tc>
      </w:tr>
      <w:tr>
        <w:trPr>
          <w:cantSplit/>
        </w:trPr>
        <w:tc>
          <w:tcPr>
            <w:tcW w:type="dxa" w:w="2200"/>
          </w:tcPr>
          <w:p>
            <w:pPr>
              <w:spacing w:after="0" w:line="252" w:lineRule="auto"/>
            </w:pPr>
            <w:r>
              <w:rPr>
                <w:rFonts w:ascii="Calibri" w:hAnsi="Calibri"/>
                <w:color w:val="13233A"/>
                <w:sz w:val="17"/>
              </w:rPr>
              <w:t>services/</w:t>
            </w:r>
          </w:p>
        </w:tc>
        <w:tc>
          <w:tcPr>
            <w:tcW w:type="dxa" w:w="3000"/>
          </w:tcPr>
          <w:p>
            <w:pPr>
              <w:spacing w:after="0" w:line="252" w:lineRule="auto"/>
            </w:pPr>
            <w:r>
              <w:rPr>
                <w:rFonts w:ascii="Calibri" w:hAnsi="Calibri"/>
                <w:color w:val="13233A"/>
                <w:sz w:val="17"/>
              </w:rPr>
              <w:t>Reglas, SQL y transacciones.</w:t>
            </w:r>
          </w:p>
        </w:tc>
        <w:tc>
          <w:tcPr>
            <w:tcW w:type="dxa" w:w="4160"/>
          </w:tcPr>
          <w:p>
            <w:pPr>
              <w:spacing w:after="0" w:line="252" w:lineRule="auto"/>
            </w:pPr>
            <w:r>
              <w:rPr>
                <w:rFonts w:ascii="Calibri" w:hAnsi="Calibri"/>
                <w:color w:val="13233A"/>
                <w:sz w:val="17"/>
              </w:rPr>
              <w:t>Implementa el caso de uso y protege consistencia.</w:t>
            </w:r>
          </w:p>
        </w:tc>
      </w:tr>
      <w:tr>
        <w:trPr>
          <w:cantSplit/>
        </w:trPr>
        <w:tc>
          <w:tcPr>
            <w:tcW w:type="dxa" w:w="2200"/>
          </w:tcPr>
          <w:p>
            <w:pPr>
              <w:spacing w:after="0" w:line="252" w:lineRule="auto"/>
            </w:pPr>
            <w:r>
              <w:rPr>
                <w:rFonts w:ascii="Calibri" w:hAnsi="Calibri"/>
                <w:color w:val="13233A"/>
                <w:sz w:val="17"/>
              </w:rPr>
              <w:t>middlewares/</w:t>
            </w:r>
          </w:p>
        </w:tc>
        <w:tc>
          <w:tcPr>
            <w:tcW w:type="dxa" w:w="3000"/>
          </w:tcPr>
          <w:p>
            <w:pPr>
              <w:spacing w:after="0" w:line="252" w:lineRule="auto"/>
            </w:pPr>
            <w:r>
              <w:rPr>
                <w:rFonts w:ascii="Calibri" w:hAnsi="Calibri"/>
                <w:color w:val="13233A"/>
                <w:sz w:val="17"/>
              </w:rPr>
              <w:t>JWT, sede, permisos y auditoría.</w:t>
            </w:r>
          </w:p>
        </w:tc>
        <w:tc>
          <w:tcPr>
            <w:tcW w:type="dxa" w:w="4160"/>
          </w:tcPr>
          <w:p>
            <w:pPr>
              <w:spacing w:after="0" w:line="252" w:lineRule="auto"/>
            </w:pPr>
            <w:r>
              <w:rPr>
                <w:rFonts w:ascii="Calibri" w:hAnsi="Calibri"/>
                <w:color w:val="13233A"/>
                <w:sz w:val="17"/>
              </w:rPr>
              <w:t>Bloquea requests inválidos antes del negocio.</w:t>
            </w:r>
          </w:p>
        </w:tc>
      </w:tr>
      <w:tr>
        <w:trPr>
          <w:cantSplit/>
        </w:trPr>
        <w:tc>
          <w:tcPr>
            <w:tcW w:type="dxa" w:w="2200"/>
          </w:tcPr>
          <w:p>
            <w:pPr>
              <w:spacing w:after="0" w:line="252" w:lineRule="auto"/>
            </w:pPr>
            <w:r>
              <w:rPr>
                <w:rFonts w:ascii="Calibri" w:hAnsi="Calibri"/>
                <w:color w:val="13233A"/>
                <w:sz w:val="17"/>
              </w:rPr>
              <w:t>integrations/</w:t>
            </w:r>
          </w:p>
        </w:tc>
        <w:tc>
          <w:tcPr>
            <w:tcW w:type="dxa" w:w="3000"/>
          </w:tcPr>
          <w:p>
            <w:pPr>
              <w:spacing w:after="0" w:line="252" w:lineRule="auto"/>
            </w:pPr>
            <w:r>
              <w:rPr>
                <w:rFonts w:ascii="Calibri" w:hAnsi="Calibri"/>
                <w:color w:val="13233A"/>
                <w:sz w:val="17"/>
              </w:rPr>
              <w:t>Adaptadores FARENET/Nubefact.</w:t>
            </w:r>
          </w:p>
        </w:tc>
        <w:tc>
          <w:tcPr>
            <w:tcW w:type="dxa" w:w="4160"/>
          </w:tcPr>
          <w:p>
            <w:pPr>
              <w:spacing w:after="0" w:line="252" w:lineRule="auto"/>
            </w:pPr>
            <w:r>
              <w:rPr>
                <w:rFonts w:ascii="Calibri" w:hAnsi="Calibri"/>
                <w:color w:val="13233A"/>
                <w:sz w:val="17"/>
              </w:rPr>
              <w:t>Aísla dependencias que no son dominio FAREGAS.</w:t>
            </w:r>
          </w:p>
        </w:tc>
      </w:tr>
      <w:tr>
        <w:trPr>
          <w:cantSplit/>
        </w:trPr>
        <w:tc>
          <w:tcPr>
            <w:tcW w:type="dxa" w:w="2200"/>
          </w:tcPr>
          <w:p>
            <w:pPr>
              <w:spacing w:after="0" w:line="252" w:lineRule="auto"/>
            </w:pPr>
            <w:r>
              <w:rPr>
                <w:rFonts w:ascii="Calibri" w:hAnsi="Calibri"/>
                <w:color w:val="13233A"/>
                <w:sz w:val="17"/>
              </w:rPr>
              <w:t>mappers/</w:t>
            </w:r>
          </w:p>
        </w:tc>
        <w:tc>
          <w:tcPr>
            <w:tcW w:type="dxa" w:w="3000"/>
          </w:tcPr>
          <w:p>
            <w:pPr>
              <w:spacing w:after="0" w:line="252" w:lineRule="auto"/>
            </w:pPr>
            <w:r>
              <w:rPr>
                <w:rFonts w:ascii="Calibri" w:hAnsi="Calibri"/>
                <w:color w:val="13233A"/>
                <w:sz w:val="17"/>
              </w:rPr>
              <w:t>Transformación de estructuras.</w:t>
            </w:r>
          </w:p>
        </w:tc>
        <w:tc>
          <w:tcPr>
            <w:tcW w:type="dxa" w:w="4160"/>
          </w:tcPr>
          <w:p>
            <w:pPr>
              <w:spacing w:after="0" w:line="252" w:lineRule="auto"/>
            </w:pPr>
            <w:r>
              <w:rPr>
                <w:rFonts w:ascii="Calibri" w:hAnsi="Calibri"/>
                <w:color w:val="13233A"/>
                <w:sz w:val="17"/>
              </w:rPr>
              <w:t>Evita copiar mapeos campo por campo en controladores.</w:t>
            </w:r>
          </w:p>
        </w:tc>
      </w:tr>
      <w:tr>
        <w:trPr>
          <w:cantSplit/>
        </w:trPr>
        <w:tc>
          <w:tcPr>
            <w:tcW w:type="dxa" w:w="2200"/>
          </w:tcPr>
          <w:p>
            <w:pPr>
              <w:spacing w:after="0" w:line="252" w:lineRule="auto"/>
            </w:pPr>
            <w:r>
              <w:rPr>
                <w:rFonts w:ascii="Calibri" w:hAnsi="Calibri"/>
                <w:color w:val="13233A"/>
                <w:sz w:val="17"/>
              </w:rPr>
              <w:t>templates/</w:t>
            </w:r>
          </w:p>
        </w:tc>
        <w:tc>
          <w:tcPr>
            <w:tcW w:type="dxa" w:w="3000"/>
          </w:tcPr>
          <w:p>
            <w:pPr>
              <w:spacing w:after="0" w:line="252" w:lineRule="auto"/>
            </w:pPr>
            <w:r>
              <w:rPr>
                <w:rFonts w:ascii="Calibri" w:hAnsi="Calibri"/>
                <w:color w:val="13233A"/>
                <w:sz w:val="17"/>
              </w:rPr>
              <w:t>HTML ejecutable de cinco certificados.</w:t>
            </w:r>
          </w:p>
        </w:tc>
        <w:tc>
          <w:tcPr>
            <w:tcW w:type="dxa" w:w="4160"/>
          </w:tcPr>
          <w:p>
            <w:pPr>
              <w:spacing w:after="0" w:line="252" w:lineRule="auto"/>
            </w:pPr>
            <w:r>
              <w:rPr>
                <w:rFonts w:ascii="Calibri" w:hAnsi="Calibri"/>
                <w:color w:val="13233A"/>
                <w:sz w:val="17"/>
              </w:rPr>
              <w:t>Afecta previsualización y documento emitido.</w:t>
            </w:r>
          </w:p>
        </w:tc>
      </w:tr>
      <w:tr>
        <w:trPr>
          <w:cantSplit/>
        </w:trPr>
        <w:tc>
          <w:tcPr>
            <w:tcW w:type="dxa" w:w="2200"/>
          </w:tcPr>
          <w:p>
            <w:pPr>
              <w:spacing w:after="0" w:line="252" w:lineRule="auto"/>
            </w:pPr>
            <w:r>
              <w:rPr>
                <w:rFonts w:ascii="Calibri" w:hAnsi="Calibri"/>
                <w:color w:val="13233A"/>
                <w:sz w:val="17"/>
              </w:rPr>
              <w:t>certificados/</w:t>
            </w:r>
          </w:p>
        </w:tc>
        <w:tc>
          <w:tcPr>
            <w:tcW w:type="dxa" w:w="3000"/>
          </w:tcPr>
          <w:p>
            <w:pPr>
              <w:spacing w:after="0" w:line="252" w:lineRule="auto"/>
            </w:pPr>
            <w:r>
              <w:rPr>
                <w:rFonts w:ascii="Calibri" w:hAnsi="Calibri"/>
                <w:color w:val="13233A"/>
                <w:sz w:val="17"/>
              </w:rPr>
              <w:t>Cinco PDFs de referencia.</w:t>
            </w:r>
          </w:p>
        </w:tc>
        <w:tc>
          <w:tcPr>
            <w:tcW w:type="dxa" w:w="4160"/>
          </w:tcPr>
          <w:p>
            <w:pPr>
              <w:spacing w:after="0" w:line="252" w:lineRule="auto"/>
            </w:pPr>
            <w:r>
              <w:rPr>
                <w:rFonts w:ascii="Calibri" w:hAnsi="Calibri"/>
                <w:color w:val="13233A"/>
                <w:sz w:val="17"/>
              </w:rPr>
              <w:t>Sirven para comparación; no son ejecutables.</w:t>
            </w:r>
          </w:p>
        </w:tc>
      </w:tr>
      <w:tr>
        <w:trPr>
          <w:cantSplit/>
        </w:trPr>
        <w:tc>
          <w:tcPr>
            <w:tcW w:type="dxa" w:w="2200"/>
          </w:tcPr>
          <w:p>
            <w:pPr>
              <w:spacing w:after="0" w:line="252" w:lineRule="auto"/>
            </w:pPr>
            <w:r>
              <w:rPr>
                <w:rFonts w:ascii="Calibri" w:hAnsi="Calibri"/>
                <w:color w:val="13233A"/>
                <w:sz w:val="17"/>
              </w:rPr>
              <w:t>database/migrations/</w:t>
            </w:r>
          </w:p>
        </w:tc>
        <w:tc>
          <w:tcPr>
            <w:tcW w:type="dxa" w:w="3000"/>
          </w:tcPr>
          <w:p>
            <w:pPr>
              <w:spacing w:after="0" w:line="252" w:lineRule="auto"/>
            </w:pPr>
            <w:r>
              <w:rPr>
                <w:rFonts w:ascii="Calibri" w:hAnsi="Calibri"/>
                <w:color w:val="13233A"/>
                <w:sz w:val="17"/>
              </w:rPr>
              <w:t>Cambios SQL versionados.</w:t>
            </w:r>
          </w:p>
        </w:tc>
        <w:tc>
          <w:tcPr>
            <w:tcW w:type="dxa" w:w="4160"/>
          </w:tcPr>
          <w:p>
            <w:pPr>
              <w:spacing w:after="0" w:line="252" w:lineRule="auto"/>
            </w:pPr>
            <w:r>
              <w:rPr>
                <w:rFonts w:ascii="Calibri" w:hAnsi="Calibri"/>
                <w:color w:val="13233A"/>
                <w:sz w:val="17"/>
              </w:rPr>
              <w:t>Reconstrucción/evolución de tablas fg_.</w:t>
            </w:r>
          </w:p>
        </w:tc>
      </w:tr>
      <w:tr>
        <w:trPr>
          <w:cantSplit/>
        </w:trPr>
        <w:tc>
          <w:tcPr>
            <w:tcW w:type="dxa" w:w="2200"/>
          </w:tcPr>
          <w:p>
            <w:pPr>
              <w:spacing w:after="0" w:line="252" w:lineRule="auto"/>
            </w:pPr>
            <w:r>
              <w:rPr>
                <w:rFonts w:ascii="Calibri" w:hAnsi="Calibri"/>
                <w:color w:val="13233A"/>
                <w:sz w:val="17"/>
              </w:rPr>
              <w:t>database/seeds/</w:t>
            </w:r>
          </w:p>
        </w:tc>
        <w:tc>
          <w:tcPr>
            <w:tcW w:type="dxa" w:w="3000"/>
          </w:tcPr>
          <w:p>
            <w:pPr>
              <w:spacing w:after="0" w:line="252" w:lineRule="auto"/>
            </w:pPr>
            <w:r>
              <w:rPr>
                <w:rFonts w:ascii="Calibri" w:hAnsi="Calibri"/>
                <w:color w:val="13233A"/>
                <w:sz w:val="17"/>
              </w:rPr>
              <w:t>Datos iniciales versionados.</w:t>
            </w:r>
          </w:p>
        </w:tc>
        <w:tc>
          <w:tcPr>
            <w:tcW w:type="dxa" w:w="4160"/>
          </w:tcPr>
          <w:p>
            <w:pPr>
              <w:spacing w:after="0" w:line="252" w:lineRule="auto"/>
            </w:pPr>
            <w:r>
              <w:rPr>
                <w:rFonts w:ascii="Calibri" w:hAnsi="Calibri"/>
                <w:color w:val="13233A"/>
                <w:sz w:val="17"/>
              </w:rPr>
              <w:t>Fuente del catálogo importado.</w:t>
            </w:r>
          </w:p>
        </w:tc>
      </w:tr>
      <w:tr>
        <w:trPr>
          <w:cantSplit/>
        </w:trPr>
        <w:tc>
          <w:tcPr>
            <w:tcW w:type="dxa" w:w="2200"/>
          </w:tcPr>
          <w:p>
            <w:pPr>
              <w:spacing w:after="0" w:line="252" w:lineRule="auto"/>
            </w:pPr>
            <w:r>
              <w:rPr>
                <w:rFonts w:ascii="Calibri" w:hAnsi="Calibri"/>
                <w:color w:val="13233A"/>
                <w:sz w:val="17"/>
              </w:rPr>
              <w:t>database/scripts/</w:t>
            </w:r>
          </w:p>
        </w:tc>
        <w:tc>
          <w:tcPr>
            <w:tcW w:type="dxa" w:w="3000"/>
          </w:tcPr>
          <w:p>
            <w:pPr>
              <w:spacing w:after="0" w:line="252" w:lineRule="auto"/>
            </w:pPr>
            <w:r>
              <w:rPr>
                <w:rFonts w:ascii="Calibri" w:hAnsi="Calibri"/>
                <w:color w:val="13233A"/>
                <w:sz w:val="17"/>
              </w:rPr>
              <w:t>Importadores/mantenimiento.</w:t>
            </w:r>
          </w:p>
        </w:tc>
        <w:tc>
          <w:tcPr>
            <w:tcW w:type="dxa" w:w="4160"/>
          </w:tcPr>
          <w:p>
            <w:pPr>
              <w:spacing w:after="0" w:line="252" w:lineRule="auto"/>
            </w:pPr>
            <w:r>
              <w:rPr>
                <w:rFonts w:ascii="Calibri" w:hAnsi="Calibri"/>
                <w:color w:val="13233A"/>
                <w:sz w:val="17"/>
              </w:rPr>
              <w:t>Se ejecuta de forma explícita, no en cada inicio.</w:t>
            </w:r>
          </w:p>
        </w:tc>
      </w:tr>
      <w:tr>
        <w:trPr>
          <w:cantSplit/>
        </w:trPr>
        <w:tc>
          <w:tcPr>
            <w:tcW w:type="dxa" w:w="2200"/>
          </w:tcPr>
          <w:p>
            <w:pPr>
              <w:spacing w:after="0" w:line="252" w:lineRule="auto"/>
            </w:pPr>
            <w:r>
              <w:rPr>
                <w:rFonts w:ascii="Calibri" w:hAnsi="Calibri"/>
                <w:color w:val="13233A"/>
                <w:sz w:val="17"/>
              </w:rPr>
              <w:t>tests/</w:t>
            </w:r>
          </w:p>
        </w:tc>
        <w:tc>
          <w:tcPr>
            <w:tcW w:type="dxa" w:w="3000"/>
          </w:tcPr>
          <w:p>
            <w:pPr>
              <w:spacing w:after="0" w:line="252" w:lineRule="auto"/>
            </w:pPr>
            <w:r>
              <w:rPr>
                <w:rFonts w:ascii="Calibri" w:hAnsi="Calibri"/>
                <w:color w:val="13233A"/>
                <w:sz w:val="17"/>
              </w:rPr>
              <w:t>Pruebas unitarias e integración.</w:t>
            </w:r>
          </w:p>
        </w:tc>
        <w:tc>
          <w:tcPr>
            <w:tcW w:type="dxa" w:w="4160"/>
          </w:tcPr>
          <w:p>
            <w:pPr>
              <w:spacing w:after="0" w:line="252" w:lineRule="auto"/>
            </w:pPr>
            <w:r>
              <w:rPr>
                <w:rFonts w:ascii="Calibri" w:hAnsi="Calibri"/>
                <w:color w:val="13233A"/>
                <w:sz w:val="17"/>
              </w:rPr>
              <w:t>Protege contratos y reglas críticas.</w:t>
            </w:r>
          </w:p>
        </w:tc>
      </w:tr>
    </w:tbl>
    <w:p>
      <w:pPr>
        <w:spacing w:after="0"/>
      </w:pPr>
    </w:p>
    <w:p>
      <w:pPr>
        <w:pStyle w:val="Heading2"/>
      </w:pPr>
      <w:r>
        <w:t>3.3 Montaje de routers</w:t>
      </w:r>
    </w:p>
    <w:tbl>
      <w:tblPr>
        <w:tblW w:type="dxa" w:w="9360"/>
        <w:jc w:val="left"/>
        <w:tblLayout w:type="fixed"/>
        <w:tblLook w:firstColumn="1" w:firstRow="1" w:lastColumn="0" w:lastRow="0" w:noHBand="0" w:noVBand="1" w:val="04A0"/>
        <w:tblInd w:w="120" w:type="dxa"/>
        <w:tblBorders>
          <w:top w:val="single" w:sz="5" w:color="B9C7D8"/>
          <w:left w:val="single" w:sz="5" w:color="B9C7D8"/>
          <w:bottom w:val="single" w:sz="5" w:color="B9C7D8"/>
          <w:right w:val="single" w:sz="5" w:color="B9C7D8"/>
          <w:insideH w:val="single" w:sz="5" w:color="B9C7D8"/>
          <w:insideV w:val="single" w:sz="5" w:color="B9C7D8"/>
        </w:tblBorders>
      </w:tblPr>
      <w:tblGrid>
        <w:gridCol w:w="9360"/>
      </w:tblGrid>
      <w:tr>
        <w:tc>
          <w:tcPr>
            <w:tcW w:type="dxa" w:w="9360"/>
            <w:tcMar>
              <w:top w:w="80" w:type="dxa"/>
              <w:start w:w="120" w:type="dxa"/>
              <w:bottom w:w="80" w:type="dxa"/>
              <w:end w:w="120" w:type="dxa"/>
            </w:tcMar>
            <w:vAlign w:val="center"/>
            <w:shd w:fill="F6F8FB"/>
          </w:tcPr>
          <w:p>
            <w:pPr>
              <w:spacing w:after="0" w:line="240" w:lineRule="auto"/>
            </w:pPr>
            <w:r>
              <w:rPr>
                <w:rFonts w:ascii="Consolas" w:hAnsi="Consolas"/>
                <w:color w:val="26364A"/>
                <w:sz w:val="17"/>
              </w:rPr>
              <w:t>app.js</w:t>
            </w:r>
            <w:r>
              <w:br/>
            </w:r>
            <w:r>
              <w:rPr>
                <w:rFonts w:ascii="Consolas" w:hAnsi="Consolas"/>
                <w:color w:val="26364A"/>
                <w:sz w:val="17"/>
              </w:rPr>
              <w:t xml:space="preserve"> ├─ app.use('/api/faregas', faregas.routes.js)</w:t>
            </w:r>
            <w:r>
              <w:br/>
            </w:r>
            <w:r>
              <w:rPr>
                <w:rFonts w:ascii="Consolas" w:hAnsi="Consolas"/>
                <w:color w:val="26364A"/>
                <w:sz w:val="17"/>
              </w:rPr>
              <w:t xml:space="preserve"> │    ├─ /usuarios</w:t>
            </w:r>
            <w:r>
              <w:br/>
            </w:r>
            <w:r>
              <w:rPr>
                <w:rFonts w:ascii="Consolas" w:hAnsi="Consolas"/>
                <w:color w:val="26364A"/>
                <w:sz w:val="17"/>
              </w:rPr>
              <w:t xml:space="preserve"> │    ├─ /auditoria</w:t>
            </w:r>
            <w:r>
              <w:br/>
            </w:r>
            <w:r>
              <w:rPr>
                <w:rFonts w:ascii="Consolas" w:hAnsi="Consolas"/>
                <w:color w:val="26364A"/>
                <w:sz w:val="17"/>
              </w:rPr>
              <w:t xml:space="preserve"> │    ├─ /certificados</w:t>
            </w:r>
            <w:r>
              <w:br/>
            </w:r>
            <w:r>
              <w:rPr>
                <w:rFonts w:ascii="Consolas" w:hAnsi="Consolas"/>
                <w:color w:val="26364A"/>
                <w:sz w:val="17"/>
              </w:rPr>
              <w:t xml:space="preserve"> │    ├─ /clientes</w:t>
            </w:r>
            <w:r>
              <w:br/>
            </w:r>
            <w:r>
              <w:rPr>
                <w:rFonts w:ascii="Consolas" w:hAnsi="Consolas"/>
                <w:color w:val="26364A"/>
                <w:sz w:val="17"/>
              </w:rPr>
              <w:t xml:space="preserve"> │    ├─ /tarifas</w:t>
            </w:r>
            <w:r>
              <w:br/>
            </w:r>
            <w:r>
              <w:rPr>
                <w:rFonts w:ascii="Consolas" w:hAnsi="Consolas"/>
                <w:color w:val="26364A"/>
                <w:sz w:val="17"/>
              </w:rPr>
              <w:t xml:space="preserve"> │    ├─ /config</w:t>
            </w:r>
            <w:r>
              <w:br/>
            </w:r>
            <w:r>
              <w:rPr>
                <w:rFonts w:ascii="Consolas" w:hAnsi="Consolas"/>
                <w:color w:val="26364A"/>
                <w:sz w:val="17"/>
              </w:rPr>
              <w:t xml:space="preserve"> │    └─ /descuentos</w:t>
            </w:r>
            <w:r>
              <w:br/>
            </w:r>
            <w:r>
              <w:rPr>
                <w:rFonts w:ascii="Consolas" w:hAnsi="Consolas"/>
                <w:color w:val="26364A"/>
                <w:sz w:val="17"/>
              </w:rPr>
              <w:t xml:space="preserve"> └─ app.use('/api/faregas/auth', faregas-auth.routes.js)</w:t>
            </w:r>
          </w:p>
        </w:tc>
      </w:tr>
    </w:tbl>
    <w:p>
      <w:pPr>
        <w:spacing w:after="0"/>
      </w:pPr>
    </w:p>
    <w:p>
      <w:pPr>
        <w:pStyle w:val="Heading2"/>
      </w:pPr>
      <w:r>
        <w:t>3.4 Convención ruta–controlador–servicio</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1500"/>
        <w:gridCol w:w="2650"/>
        <w:gridCol w:w="2650"/>
        <w:gridCol w:w="2560"/>
      </w:tblGrid>
      <w:tr>
        <w:trPr>
          <w:tblHeader w:val="true"/>
        </w:trPr>
        <w:tc>
          <w:tcPr>
            <w:tcW w:type="dxa" w:w="1500"/>
            <w:tcMar>
              <w:top w:w="80" w:type="dxa"/>
              <w:start w:w="120" w:type="dxa"/>
              <w:bottom w:w="80" w:type="dxa"/>
              <w:end w:w="120" w:type="dxa"/>
            </w:tcMar>
            <w:vAlign w:val="center"/>
            <w:shd w:fill="082B66"/>
          </w:tcPr>
          <w:p>
            <w:pPr>
              <w:spacing w:after="0"/>
            </w:pPr>
            <w:r>
              <w:rPr>
                <w:rFonts w:ascii="Calibri" w:hAnsi="Calibri"/>
                <w:b/>
                <w:color w:val="FFFFFF"/>
                <w:sz w:val="16"/>
              </w:rPr>
              <w:t>DOMINIO</w:t>
            </w:r>
          </w:p>
        </w:tc>
        <w:tc>
          <w:tcPr>
            <w:tcW w:type="dxa" w:w="2650"/>
            <w:tcMar>
              <w:top w:w="80" w:type="dxa"/>
              <w:start w:w="120" w:type="dxa"/>
              <w:bottom w:w="80" w:type="dxa"/>
              <w:end w:w="120" w:type="dxa"/>
            </w:tcMar>
            <w:vAlign w:val="center"/>
            <w:shd w:fill="082B66"/>
          </w:tcPr>
          <w:p>
            <w:pPr>
              <w:spacing w:after="0"/>
            </w:pPr>
            <w:r>
              <w:rPr>
                <w:rFonts w:ascii="Calibri" w:hAnsi="Calibri"/>
                <w:b/>
                <w:color w:val="FFFFFF"/>
                <w:sz w:val="16"/>
              </w:rPr>
              <w:t>RUTA</w:t>
            </w:r>
          </w:p>
        </w:tc>
        <w:tc>
          <w:tcPr>
            <w:tcW w:type="dxa" w:w="2650"/>
            <w:tcMar>
              <w:top w:w="80" w:type="dxa"/>
              <w:start w:w="120" w:type="dxa"/>
              <w:bottom w:w="80" w:type="dxa"/>
              <w:end w:w="120" w:type="dxa"/>
            </w:tcMar>
            <w:vAlign w:val="center"/>
            <w:shd w:fill="082B66"/>
          </w:tcPr>
          <w:p>
            <w:pPr>
              <w:spacing w:after="0"/>
            </w:pPr>
            <w:r>
              <w:rPr>
                <w:rFonts w:ascii="Calibri" w:hAnsi="Calibri"/>
                <w:b/>
                <w:color w:val="FFFFFF"/>
                <w:sz w:val="16"/>
              </w:rPr>
              <w:t>CONTROLADOR</w:t>
            </w:r>
          </w:p>
        </w:tc>
        <w:tc>
          <w:tcPr>
            <w:tcW w:type="dxa" w:w="2560"/>
            <w:tcMar>
              <w:top w:w="80" w:type="dxa"/>
              <w:start w:w="120" w:type="dxa"/>
              <w:bottom w:w="80" w:type="dxa"/>
              <w:end w:w="120" w:type="dxa"/>
            </w:tcMar>
            <w:vAlign w:val="center"/>
            <w:shd w:fill="082B66"/>
          </w:tcPr>
          <w:p>
            <w:pPr>
              <w:spacing w:after="0"/>
            </w:pPr>
            <w:r>
              <w:rPr>
                <w:rFonts w:ascii="Calibri" w:hAnsi="Calibri"/>
                <w:b/>
                <w:color w:val="FFFFFF"/>
                <w:sz w:val="16"/>
              </w:rPr>
              <w:t>SERVICIO</w:t>
            </w:r>
          </w:p>
        </w:tc>
      </w:tr>
      <w:tr>
        <w:trPr>
          <w:cantSplit/>
        </w:trPr>
        <w:tc>
          <w:tcPr>
            <w:tcW w:type="dxa" w:w="1500"/>
          </w:tcPr>
          <w:p>
            <w:pPr>
              <w:spacing w:after="0" w:line="252" w:lineRule="auto"/>
            </w:pPr>
            <w:r>
              <w:rPr>
                <w:rFonts w:ascii="Calibri" w:hAnsi="Calibri"/>
                <w:color w:val="13233A"/>
                <w:sz w:val="15"/>
              </w:rPr>
              <w:t>Certificados</w:t>
            </w:r>
          </w:p>
        </w:tc>
        <w:tc>
          <w:tcPr>
            <w:tcW w:type="dxa" w:w="2650"/>
          </w:tcPr>
          <w:p>
            <w:pPr>
              <w:spacing w:after="0" w:line="252" w:lineRule="auto"/>
            </w:pPr>
            <w:r>
              <w:rPr>
                <w:rFonts w:ascii="Calibri" w:hAnsi="Calibri"/>
                <w:color w:val="13233A"/>
                <w:sz w:val="15"/>
              </w:rPr>
              <w:t>faregas-certificados.routes.js</w:t>
            </w:r>
          </w:p>
        </w:tc>
        <w:tc>
          <w:tcPr>
            <w:tcW w:type="dxa" w:w="2650"/>
          </w:tcPr>
          <w:p>
            <w:pPr>
              <w:spacing w:after="0" w:line="252" w:lineRule="auto"/>
            </w:pPr>
            <w:r>
              <w:rPr>
                <w:rFonts w:ascii="Calibri" w:hAnsi="Calibri"/>
                <w:color w:val="13233A"/>
                <w:sz w:val="15"/>
              </w:rPr>
              <w:t>faregas-certificados.controller.js</w:t>
            </w:r>
          </w:p>
        </w:tc>
        <w:tc>
          <w:tcPr>
            <w:tcW w:type="dxa" w:w="2560"/>
          </w:tcPr>
          <w:p>
            <w:pPr>
              <w:spacing w:after="0" w:line="252" w:lineRule="auto"/>
            </w:pPr>
            <w:r>
              <w:rPr>
                <w:rFonts w:ascii="Calibri" w:hAnsi="Calibri"/>
                <w:color w:val="13233A"/>
                <w:sz w:val="15"/>
              </w:rPr>
              <w:t>faregas-certificados.service.js</w:t>
            </w:r>
          </w:p>
        </w:tc>
      </w:tr>
      <w:tr>
        <w:trPr>
          <w:cantSplit/>
        </w:trPr>
        <w:tc>
          <w:tcPr>
            <w:tcW w:type="dxa" w:w="1500"/>
          </w:tcPr>
          <w:p>
            <w:pPr>
              <w:spacing w:after="0" w:line="252" w:lineRule="auto"/>
            </w:pPr>
            <w:r>
              <w:rPr>
                <w:rFonts w:ascii="Calibri" w:hAnsi="Calibri"/>
                <w:color w:val="13233A"/>
                <w:sz w:val="15"/>
              </w:rPr>
              <w:t>Clientes</w:t>
            </w:r>
          </w:p>
        </w:tc>
        <w:tc>
          <w:tcPr>
            <w:tcW w:type="dxa" w:w="2650"/>
          </w:tcPr>
          <w:p>
            <w:pPr>
              <w:spacing w:after="0" w:line="252" w:lineRule="auto"/>
            </w:pPr>
            <w:r>
              <w:rPr>
                <w:rFonts w:ascii="Calibri" w:hAnsi="Calibri"/>
                <w:color w:val="13233A"/>
                <w:sz w:val="15"/>
              </w:rPr>
              <w:t>faregas-clientes.routes.js</w:t>
            </w:r>
          </w:p>
        </w:tc>
        <w:tc>
          <w:tcPr>
            <w:tcW w:type="dxa" w:w="2650"/>
          </w:tcPr>
          <w:p>
            <w:pPr>
              <w:spacing w:after="0" w:line="252" w:lineRule="auto"/>
            </w:pPr>
            <w:r>
              <w:rPr>
                <w:rFonts w:ascii="Calibri" w:hAnsi="Calibri"/>
                <w:color w:val="13233A"/>
                <w:sz w:val="15"/>
              </w:rPr>
              <w:t>faregas-clientes.controller.js</w:t>
            </w:r>
          </w:p>
        </w:tc>
        <w:tc>
          <w:tcPr>
            <w:tcW w:type="dxa" w:w="2560"/>
          </w:tcPr>
          <w:p>
            <w:pPr>
              <w:spacing w:after="0" w:line="252" w:lineRule="auto"/>
            </w:pPr>
            <w:r>
              <w:rPr>
                <w:rFonts w:ascii="Calibri" w:hAnsi="Calibri"/>
                <w:color w:val="13233A"/>
                <w:sz w:val="15"/>
              </w:rPr>
              <w:t>faregas-clientes.service.js</w:t>
            </w:r>
          </w:p>
        </w:tc>
      </w:tr>
      <w:tr>
        <w:trPr>
          <w:cantSplit/>
        </w:trPr>
        <w:tc>
          <w:tcPr>
            <w:tcW w:type="dxa" w:w="1500"/>
          </w:tcPr>
          <w:p>
            <w:pPr>
              <w:spacing w:after="0" w:line="252" w:lineRule="auto"/>
            </w:pPr>
            <w:r>
              <w:rPr>
                <w:rFonts w:ascii="Calibri" w:hAnsi="Calibri"/>
                <w:color w:val="13233A"/>
                <w:sz w:val="15"/>
              </w:rPr>
              <w:t>Descuentos</w:t>
            </w:r>
          </w:p>
        </w:tc>
        <w:tc>
          <w:tcPr>
            <w:tcW w:type="dxa" w:w="2650"/>
          </w:tcPr>
          <w:p>
            <w:pPr>
              <w:spacing w:after="0" w:line="252" w:lineRule="auto"/>
            </w:pPr>
            <w:r>
              <w:rPr>
                <w:rFonts w:ascii="Calibri" w:hAnsi="Calibri"/>
                <w:color w:val="13233A"/>
                <w:sz w:val="15"/>
              </w:rPr>
              <w:t>faregas-descuentos.routes.js</w:t>
            </w:r>
          </w:p>
        </w:tc>
        <w:tc>
          <w:tcPr>
            <w:tcW w:type="dxa" w:w="2650"/>
          </w:tcPr>
          <w:p>
            <w:pPr>
              <w:spacing w:after="0" w:line="252" w:lineRule="auto"/>
            </w:pPr>
            <w:r>
              <w:rPr>
                <w:rFonts w:ascii="Calibri" w:hAnsi="Calibri"/>
                <w:color w:val="13233A"/>
                <w:sz w:val="15"/>
              </w:rPr>
              <w:t>faregas-descuentos.controller.js</w:t>
            </w:r>
          </w:p>
        </w:tc>
        <w:tc>
          <w:tcPr>
            <w:tcW w:type="dxa" w:w="2560"/>
          </w:tcPr>
          <w:p>
            <w:pPr>
              <w:spacing w:after="0" w:line="252" w:lineRule="auto"/>
            </w:pPr>
            <w:r>
              <w:rPr>
                <w:rFonts w:ascii="Calibri" w:hAnsi="Calibri"/>
                <w:color w:val="13233A"/>
                <w:sz w:val="15"/>
              </w:rPr>
              <w:t>faregas-descuentos.service.js</w:t>
            </w:r>
          </w:p>
        </w:tc>
      </w:tr>
      <w:tr>
        <w:trPr>
          <w:cantSplit/>
        </w:trPr>
        <w:tc>
          <w:tcPr>
            <w:tcW w:type="dxa" w:w="1500"/>
          </w:tcPr>
          <w:p>
            <w:pPr>
              <w:spacing w:after="0" w:line="252" w:lineRule="auto"/>
            </w:pPr>
            <w:r>
              <w:rPr>
                <w:rFonts w:ascii="Calibri" w:hAnsi="Calibri"/>
                <w:color w:val="13233A"/>
                <w:sz w:val="15"/>
              </w:rPr>
              <w:t>Auditoría</w:t>
            </w:r>
          </w:p>
        </w:tc>
        <w:tc>
          <w:tcPr>
            <w:tcW w:type="dxa" w:w="2650"/>
          </w:tcPr>
          <w:p>
            <w:pPr>
              <w:spacing w:after="0" w:line="252" w:lineRule="auto"/>
            </w:pPr>
            <w:r>
              <w:rPr>
                <w:rFonts w:ascii="Calibri" w:hAnsi="Calibri"/>
                <w:color w:val="13233A"/>
                <w:sz w:val="15"/>
              </w:rPr>
              <w:t>faregas-auditoria.routes.js</w:t>
            </w:r>
          </w:p>
        </w:tc>
        <w:tc>
          <w:tcPr>
            <w:tcW w:type="dxa" w:w="2650"/>
          </w:tcPr>
          <w:p>
            <w:pPr>
              <w:spacing w:after="0" w:line="252" w:lineRule="auto"/>
            </w:pPr>
            <w:r>
              <w:rPr>
                <w:rFonts w:ascii="Calibri" w:hAnsi="Calibri"/>
                <w:color w:val="13233A"/>
                <w:sz w:val="15"/>
              </w:rPr>
              <w:t>faregas-auditoria.controller.js</w:t>
            </w:r>
          </w:p>
        </w:tc>
        <w:tc>
          <w:tcPr>
            <w:tcW w:type="dxa" w:w="2560"/>
          </w:tcPr>
          <w:p>
            <w:pPr>
              <w:spacing w:after="0" w:line="252" w:lineRule="auto"/>
            </w:pPr>
            <w:r>
              <w:rPr>
                <w:rFonts w:ascii="Calibri" w:hAnsi="Calibri"/>
                <w:color w:val="13233A"/>
                <w:sz w:val="15"/>
              </w:rPr>
              <w:t>faregas-auditoria.service.js</w:t>
            </w:r>
          </w:p>
        </w:tc>
      </w:tr>
      <w:tr>
        <w:trPr>
          <w:cantSplit/>
        </w:trPr>
        <w:tc>
          <w:tcPr>
            <w:tcW w:type="dxa" w:w="1500"/>
          </w:tcPr>
          <w:p>
            <w:pPr>
              <w:spacing w:after="0" w:line="252" w:lineRule="auto"/>
            </w:pPr>
            <w:r>
              <w:rPr>
                <w:rFonts w:ascii="Calibri" w:hAnsi="Calibri"/>
                <w:color w:val="13233A"/>
                <w:sz w:val="15"/>
              </w:rPr>
              <w:t>Usuarios</w:t>
            </w:r>
          </w:p>
        </w:tc>
        <w:tc>
          <w:tcPr>
            <w:tcW w:type="dxa" w:w="2650"/>
          </w:tcPr>
          <w:p>
            <w:pPr>
              <w:spacing w:after="0" w:line="252" w:lineRule="auto"/>
            </w:pPr>
            <w:r>
              <w:rPr>
                <w:rFonts w:ascii="Calibri" w:hAnsi="Calibri"/>
                <w:color w:val="13233A"/>
                <w:sz w:val="15"/>
              </w:rPr>
              <w:t>faregas-usuarios.routes.js</w:t>
            </w:r>
          </w:p>
        </w:tc>
        <w:tc>
          <w:tcPr>
            <w:tcW w:type="dxa" w:w="2650"/>
          </w:tcPr>
          <w:p>
            <w:pPr>
              <w:spacing w:after="0" w:line="252" w:lineRule="auto"/>
            </w:pPr>
            <w:r>
              <w:rPr>
                <w:rFonts w:ascii="Calibri" w:hAnsi="Calibri"/>
                <w:color w:val="13233A"/>
                <w:sz w:val="15"/>
              </w:rPr>
              <w:t>faregas-usuarios.controller.js</w:t>
            </w:r>
          </w:p>
        </w:tc>
        <w:tc>
          <w:tcPr>
            <w:tcW w:type="dxa" w:w="2560"/>
          </w:tcPr>
          <w:p>
            <w:pPr>
              <w:spacing w:after="0" w:line="252" w:lineRule="auto"/>
            </w:pPr>
            <w:r>
              <w:rPr>
                <w:rFonts w:ascii="Calibri" w:hAnsi="Calibri"/>
                <w:color w:val="13233A"/>
                <w:sz w:val="15"/>
              </w:rPr>
              <w:t>faregas-usuarios.service.js</w:t>
            </w:r>
          </w:p>
        </w:tc>
      </w:tr>
      <w:tr>
        <w:trPr>
          <w:cantSplit/>
        </w:trPr>
        <w:tc>
          <w:tcPr>
            <w:tcW w:type="dxa" w:w="1500"/>
          </w:tcPr>
          <w:p>
            <w:pPr>
              <w:spacing w:after="0" w:line="252" w:lineRule="auto"/>
            </w:pPr>
            <w:r>
              <w:rPr>
                <w:rFonts w:ascii="Calibri" w:hAnsi="Calibri"/>
                <w:color w:val="13233A"/>
                <w:sz w:val="15"/>
              </w:rPr>
              <w:t>Tarifas operativas</w:t>
            </w:r>
          </w:p>
        </w:tc>
        <w:tc>
          <w:tcPr>
            <w:tcW w:type="dxa" w:w="2650"/>
          </w:tcPr>
          <w:p>
            <w:pPr>
              <w:spacing w:after="0" w:line="252" w:lineRule="auto"/>
            </w:pPr>
            <w:r>
              <w:rPr>
                <w:rFonts w:ascii="Calibri" w:hAnsi="Calibri"/>
                <w:color w:val="13233A"/>
                <w:sz w:val="15"/>
              </w:rPr>
              <w:t>faregas-tarifas.routes.js</w:t>
            </w:r>
          </w:p>
        </w:tc>
        <w:tc>
          <w:tcPr>
            <w:tcW w:type="dxa" w:w="2650"/>
          </w:tcPr>
          <w:p>
            <w:pPr>
              <w:spacing w:after="0" w:line="252" w:lineRule="auto"/>
            </w:pPr>
            <w:r>
              <w:rPr>
                <w:rFonts w:ascii="Calibri" w:hAnsi="Calibri"/>
                <w:color w:val="13233A"/>
                <w:sz w:val="15"/>
              </w:rPr>
              <w:t>faregas-tarifas.controller.js</w:t>
            </w:r>
          </w:p>
        </w:tc>
        <w:tc>
          <w:tcPr>
            <w:tcW w:type="dxa" w:w="2560"/>
          </w:tcPr>
          <w:p>
            <w:pPr>
              <w:spacing w:after="0" w:line="252" w:lineRule="auto"/>
            </w:pPr>
            <w:r>
              <w:rPr>
                <w:rFonts w:ascii="Calibri" w:hAnsi="Calibri"/>
                <w:color w:val="13233A"/>
                <w:sz w:val="15"/>
              </w:rPr>
              <w:t>faregas-tarifas.service.js</w:t>
            </w:r>
          </w:p>
        </w:tc>
      </w:tr>
      <w:tr>
        <w:trPr>
          <w:cantSplit/>
        </w:trPr>
        <w:tc>
          <w:tcPr>
            <w:tcW w:type="dxa" w:w="1500"/>
          </w:tcPr>
          <w:p>
            <w:pPr>
              <w:spacing w:after="0" w:line="252" w:lineRule="auto"/>
            </w:pPr>
            <w:r>
              <w:rPr>
                <w:rFonts w:ascii="Calibri" w:hAnsi="Calibri"/>
                <w:color w:val="13233A"/>
                <w:sz w:val="15"/>
              </w:rPr>
              <w:t>Configuración</w:t>
            </w:r>
          </w:p>
        </w:tc>
        <w:tc>
          <w:tcPr>
            <w:tcW w:type="dxa" w:w="2650"/>
          </w:tcPr>
          <w:p>
            <w:pPr>
              <w:spacing w:after="0" w:line="252" w:lineRule="auto"/>
            </w:pPr>
            <w:r>
              <w:rPr>
                <w:rFonts w:ascii="Calibri" w:hAnsi="Calibri"/>
                <w:color w:val="13233A"/>
                <w:sz w:val="15"/>
              </w:rPr>
              <w:t>faregas-config.routes.js</w:t>
            </w:r>
          </w:p>
        </w:tc>
        <w:tc>
          <w:tcPr>
            <w:tcW w:type="dxa" w:w="2650"/>
          </w:tcPr>
          <w:p>
            <w:pPr>
              <w:spacing w:after="0" w:line="252" w:lineRule="auto"/>
            </w:pPr>
            <w:r>
              <w:rPr>
                <w:rFonts w:ascii="Calibri" w:hAnsi="Calibri"/>
                <w:color w:val="13233A"/>
                <w:sz w:val="15"/>
              </w:rPr>
              <w:t>varios controladores config/*</w:t>
            </w:r>
          </w:p>
        </w:tc>
        <w:tc>
          <w:tcPr>
            <w:tcW w:type="dxa" w:w="2560"/>
          </w:tcPr>
          <w:p>
            <w:pPr>
              <w:spacing w:after="0" w:line="252" w:lineRule="auto"/>
            </w:pPr>
            <w:r>
              <w:rPr>
                <w:rFonts w:ascii="Calibri" w:hAnsi="Calibri"/>
                <w:color w:val="13233A"/>
                <w:sz w:val="15"/>
              </w:rPr>
              <w:t>config, tarifas-admin, productos y series</w:t>
            </w:r>
          </w:p>
        </w:tc>
      </w:tr>
    </w:tbl>
    <w:p>
      <w:pPr>
        <w:spacing w:after="0"/>
      </w:pPr>
    </w:p>
    <w:p>
      <w:pPr>
        <w:pStyle w:val="Heading2"/>
      </w:pPr>
      <w:r>
        <w:t>3.5 Inventario de archivos backend</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3550"/>
        <w:gridCol w:w="1200"/>
        <w:gridCol w:w="4610"/>
      </w:tblGrid>
      <w:tr>
        <w:trPr>
          <w:tblHeader w:val="true"/>
        </w:trPr>
        <w:tc>
          <w:tcPr>
            <w:tcW w:type="dxa" w:w="3550"/>
            <w:tcMar>
              <w:top w:w="80" w:type="dxa"/>
              <w:start w:w="120" w:type="dxa"/>
              <w:bottom w:w="80" w:type="dxa"/>
              <w:end w:w="120" w:type="dxa"/>
            </w:tcMar>
            <w:vAlign w:val="center"/>
            <w:shd w:fill="082B66"/>
          </w:tcPr>
          <w:p>
            <w:pPr>
              <w:spacing w:after="0"/>
            </w:pPr>
            <w:r>
              <w:rPr>
                <w:rFonts w:ascii="Calibri" w:hAnsi="Calibri"/>
                <w:b/>
                <w:color w:val="FFFFFF"/>
                <w:sz w:val="16"/>
              </w:rPr>
              <w:t>ARCHIVO</w:t>
            </w:r>
          </w:p>
        </w:tc>
        <w:tc>
          <w:tcPr>
            <w:tcW w:type="dxa" w:w="1200"/>
            <w:tcMar>
              <w:top w:w="80" w:type="dxa"/>
              <w:start w:w="120" w:type="dxa"/>
              <w:bottom w:w="80" w:type="dxa"/>
              <w:end w:w="120" w:type="dxa"/>
            </w:tcMar>
            <w:vAlign w:val="center"/>
            <w:shd w:fill="082B66"/>
          </w:tcPr>
          <w:p>
            <w:pPr>
              <w:spacing w:after="0"/>
            </w:pPr>
            <w:r>
              <w:rPr>
                <w:rFonts w:ascii="Calibri" w:hAnsi="Calibri"/>
                <w:b/>
                <w:color w:val="FFFFFF"/>
                <w:sz w:val="16"/>
              </w:rPr>
              <w:t>ÁREA</w:t>
            </w:r>
          </w:p>
        </w:tc>
        <w:tc>
          <w:tcPr>
            <w:tcW w:type="dxa" w:w="4610"/>
            <w:tcMar>
              <w:top w:w="80" w:type="dxa"/>
              <w:start w:w="120" w:type="dxa"/>
              <w:bottom w:w="80" w:type="dxa"/>
              <w:end w:w="120" w:type="dxa"/>
            </w:tcMar>
            <w:vAlign w:val="center"/>
            <w:shd w:fill="082B66"/>
          </w:tcPr>
          <w:p>
            <w:pPr>
              <w:spacing w:after="0"/>
            </w:pPr>
            <w:r>
              <w:rPr>
                <w:rFonts w:ascii="Calibri" w:hAnsi="Calibri"/>
                <w:b/>
                <w:color w:val="FFFFFF"/>
                <w:sz w:val="16"/>
              </w:rPr>
              <w:t>RESPONSABILIDAD</w:t>
            </w:r>
          </w:p>
        </w:tc>
      </w:tr>
      <w:tr>
        <w:trPr>
          <w:cantSplit/>
        </w:trPr>
        <w:tc>
          <w:tcPr>
            <w:tcW w:type="dxa" w:w="3550"/>
          </w:tcPr>
          <w:p>
            <w:pPr>
              <w:spacing w:after="0" w:line="252" w:lineRule="auto"/>
            </w:pPr>
            <w:r>
              <w:rPr>
                <w:rFonts w:ascii="Calibri" w:hAnsi="Calibri"/>
                <w:color w:val="13233A"/>
                <w:sz w:val="15"/>
              </w:rPr>
              <w:t>certificados/000001-BSX640-GLP ANUAL.pdf</w:t>
            </w:r>
          </w:p>
        </w:tc>
        <w:tc>
          <w:tcPr>
            <w:tcW w:type="dxa" w:w="1200"/>
          </w:tcPr>
          <w:p>
            <w:pPr>
              <w:spacing w:after="0" w:line="252" w:lineRule="auto"/>
            </w:pPr>
            <w:r>
              <w:rPr>
                <w:rFonts w:ascii="Calibri" w:hAnsi="Calibri"/>
                <w:color w:val="13233A"/>
                <w:sz w:val="15"/>
              </w:rPr>
              <w:t>certificados</w:t>
            </w:r>
          </w:p>
        </w:tc>
        <w:tc>
          <w:tcPr>
            <w:tcW w:type="dxa" w:w="4610"/>
          </w:tcPr>
          <w:p>
            <w:pPr>
              <w:spacing w:after="0" w:line="252" w:lineRule="auto"/>
            </w:pPr>
            <w:r>
              <w:rPr>
                <w:rFonts w:ascii="Calibri" w:hAnsi="Calibri"/>
                <w:color w:val="13233A"/>
                <w:sz w:val="15"/>
              </w:rPr>
              <w:t>Documento oficial de referencia usado para comparar campos y formato; no es la plantilla ejecutable.</w:t>
            </w:r>
          </w:p>
        </w:tc>
      </w:tr>
      <w:tr>
        <w:trPr>
          <w:cantSplit/>
        </w:trPr>
        <w:tc>
          <w:tcPr>
            <w:tcW w:type="dxa" w:w="3550"/>
          </w:tcPr>
          <w:p>
            <w:pPr>
              <w:spacing w:after="0" w:line="252" w:lineRule="auto"/>
            </w:pPr>
            <w:r>
              <w:rPr>
                <w:rFonts w:ascii="Calibri" w:hAnsi="Calibri"/>
                <w:color w:val="13233A"/>
                <w:sz w:val="15"/>
              </w:rPr>
              <w:t>certificados/000001-CHS268-ANUAL GNV.pdf</w:t>
            </w:r>
          </w:p>
        </w:tc>
        <w:tc>
          <w:tcPr>
            <w:tcW w:type="dxa" w:w="1200"/>
          </w:tcPr>
          <w:p>
            <w:pPr>
              <w:spacing w:after="0" w:line="252" w:lineRule="auto"/>
            </w:pPr>
            <w:r>
              <w:rPr>
                <w:rFonts w:ascii="Calibri" w:hAnsi="Calibri"/>
                <w:color w:val="13233A"/>
                <w:sz w:val="15"/>
              </w:rPr>
              <w:t>certificados</w:t>
            </w:r>
          </w:p>
        </w:tc>
        <w:tc>
          <w:tcPr>
            <w:tcW w:type="dxa" w:w="4610"/>
          </w:tcPr>
          <w:p>
            <w:pPr>
              <w:spacing w:after="0" w:line="252" w:lineRule="auto"/>
            </w:pPr>
            <w:r>
              <w:rPr>
                <w:rFonts w:ascii="Calibri" w:hAnsi="Calibri"/>
                <w:color w:val="13233A"/>
                <w:sz w:val="15"/>
              </w:rPr>
              <w:t>Documento oficial de referencia usado para comparar campos y formato; no es la plantilla ejecutable.</w:t>
            </w:r>
          </w:p>
        </w:tc>
      </w:tr>
      <w:tr>
        <w:trPr>
          <w:cantSplit/>
        </w:trPr>
        <w:tc>
          <w:tcPr>
            <w:tcW w:type="dxa" w:w="3550"/>
          </w:tcPr>
          <w:p>
            <w:pPr>
              <w:spacing w:after="0" w:line="252" w:lineRule="auto"/>
            </w:pPr>
            <w:r>
              <w:rPr>
                <w:rFonts w:ascii="Calibri" w:hAnsi="Calibri"/>
                <w:color w:val="13233A"/>
                <w:sz w:val="15"/>
              </w:rPr>
              <w:t>certificados/conformidad.pdf</w:t>
            </w:r>
          </w:p>
        </w:tc>
        <w:tc>
          <w:tcPr>
            <w:tcW w:type="dxa" w:w="1200"/>
          </w:tcPr>
          <w:p>
            <w:pPr>
              <w:spacing w:after="0" w:line="252" w:lineRule="auto"/>
            </w:pPr>
            <w:r>
              <w:rPr>
                <w:rFonts w:ascii="Calibri" w:hAnsi="Calibri"/>
                <w:color w:val="13233A"/>
                <w:sz w:val="15"/>
              </w:rPr>
              <w:t>certificados</w:t>
            </w:r>
          </w:p>
        </w:tc>
        <w:tc>
          <w:tcPr>
            <w:tcW w:type="dxa" w:w="4610"/>
          </w:tcPr>
          <w:p>
            <w:pPr>
              <w:spacing w:after="0" w:line="252" w:lineRule="auto"/>
            </w:pPr>
            <w:r>
              <w:rPr>
                <w:rFonts w:ascii="Calibri" w:hAnsi="Calibri"/>
                <w:color w:val="13233A"/>
                <w:sz w:val="15"/>
              </w:rPr>
              <w:t>Documento oficial de referencia usado para comparar campos y formato; no es la plantilla ejecutable.</w:t>
            </w:r>
          </w:p>
        </w:tc>
      </w:tr>
      <w:tr>
        <w:trPr>
          <w:cantSplit/>
        </w:trPr>
        <w:tc>
          <w:tcPr>
            <w:tcW w:type="dxa" w:w="3550"/>
          </w:tcPr>
          <w:p>
            <w:pPr>
              <w:spacing w:after="0" w:line="252" w:lineRule="auto"/>
            </w:pPr>
            <w:r>
              <w:rPr>
                <w:rFonts w:ascii="Calibri" w:hAnsi="Calibri"/>
                <w:color w:val="13233A"/>
                <w:sz w:val="15"/>
              </w:rPr>
              <w:t>certificados/GLP INICIAL.pdf</w:t>
            </w:r>
          </w:p>
        </w:tc>
        <w:tc>
          <w:tcPr>
            <w:tcW w:type="dxa" w:w="1200"/>
          </w:tcPr>
          <w:p>
            <w:pPr>
              <w:spacing w:after="0" w:line="252" w:lineRule="auto"/>
            </w:pPr>
            <w:r>
              <w:rPr>
                <w:rFonts w:ascii="Calibri" w:hAnsi="Calibri"/>
                <w:color w:val="13233A"/>
                <w:sz w:val="15"/>
              </w:rPr>
              <w:t>certificados</w:t>
            </w:r>
          </w:p>
        </w:tc>
        <w:tc>
          <w:tcPr>
            <w:tcW w:type="dxa" w:w="4610"/>
          </w:tcPr>
          <w:p>
            <w:pPr>
              <w:spacing w:after="0" w:line="252" w:lineRule="auto"/>
            </w:pPr>
            <w:r>
              <w:rPr>
                <w:rFonts w:ascii="Calibri" w:hAnsi="Calibri"/>
                <w:color w:val="13233A"/>
                <w:sz w:val="15"/>
              </w:rPr>
              <w:t>Documento oficial de referencia usado para comparar campos y formato; no es la plantilla ejecutable.</w:t>
            </w:r>
          </w:p>
        </w:tc>
      </w:tr>
      <w:tr>
        <w:trPr>
          <w:cantSplit/>
        </w:trPr>
        <w:tc>
          <w:tcPr>
            <w:tcW w:type="dxa" w:w="3550"/>
          </w:tcPr>
          <w:p>
            <w:pPr>
              <w:spacing w:after="0" w:line="252" w:lineRule="auto"/>
            </w:pPr>
            <w:r>
              <w:rPr>
                <w:rFonts w:ascii="Calibri" w:hAnsi="Calibri"/>
                <w:color w:val="13233A"/>
                <w:sz w:val="15"/>
              </w:rPr>
              <w:t>certificados/GNV INICIAL.pdf</w:t>
            </w:r>
          </w:p>
        </w:tc>
        <w:tc>
          <w:tcPr>
            <w:tcW w:type="dxa" w:w="1200"/>
          </w:tcPr>
          <w:p>
            <w:pPr>
              <w:spacing w:after="0" w:line="252" w:lineRule="auto"/>
            </w:pPr>
            <w:r>
              <w:rPr>
                <w:rFonts w:ascii="Calibri" w:hAnsi="Calibri"/>
                <w:color w:val="13233A"/>
                <w:sz w:val="15"/>
              </w:rPr>
              <w:t>certificados</w:t>
            </w:r>
          </w:p>
        </w:tc>
        <w:tc>
          <w:tcPr>
            <w:tcW w:type="dxa" w:w="4610"/>
          </w:tcPr>
          <w:p>
            <w:pPr>
              <w:spacing w:after="0" w:line="252" w:lineRule="auto"/>
            </w:pPr>
            <w:r>
              <w:rPr>
                <w:rFonts w:ascii="Calibri" w:hAnsi="Calibri"/>
                <w:color w:val="13233A"/>
                <w:sz w:val="15"/>
              </w:rPr>
              <w:t>Documento oficial de referencia usado para comparar campos y formato; no es la plantilla ejecutable.</w:t>
            </w:r>
          </w:p>
        </w:tc>
      </w:tr>
      <w:tr>
        <w:trPr>
          <w:cantSplit/>
        </w:trPr>
        <w:tc>
          <w:tcPr>
            <w:tcW w:type="dxa" w:w="3550"/>
          </w:tcPr>
          <w:p>
            <w:pPr>
              <w:spacing w:after="0" w:line="252" w:lineRule="auto"/>
            </w:pPr>
            <w:r>
              <w:rPr>
                <w:rFonts w:ascii="Calibri" w:hAnsi="Calibri"/>
                <w:color w:val="13233A"/>
                <w:sz w:val="15"/>
              </w:rPr>
              <w:t>controllers/faregas-auditoria.controller.js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auditoria: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controllers/faregas-auth.controller.js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auth: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controllers/faregas-certificados.controller.js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certificados: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controllers/faregas-clientes.controller.js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clientes: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controllers/faregas-config.controller.js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config: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controllers/faregas-descuentos.controller.js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descuentos: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controllers/faregas-facturacion.controller.js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facturacion: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controllers/faregas-pagos.controller.js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pagos: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controllers/faregas-productos.controller.js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productos: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controllers/faregas-series.controller.js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series: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controllers/faregas-tarifas-admin.controller.js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tarifas-admin: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controllers/faregas-tarifas.controller.js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tarifas: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controllers/faregas-usuarios.controller.js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usuarios: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controllers/health.controller.js</w:t>
            </w:r>
          </w:p>
        </w:tc>
        <w:tc>
          <w:tcPr>
            <w:tcW w:type="dxa" w:w="1200"/>
          </w:tcPr>
          <w:p>
            <w:pPr>
              <w:spacing w:after="0" w:line="252" w:lineRule="auto"/>
            </w:pPr>
            <w:r>
              <w:rPr>
                <w:rFonts w:ascii="Calibri" w:hAnsi="Calibri"/>
                <w:color w:val="13233A"/>
                <w:sz w:val="15"/>
              </w:rPr>
              <w:t>controllers</w:t>
            </w:r>
          </w:p>
        </w:tc>
        <w:tc>
          <w:tcPr>
            <w:tcW w:type="dxa" w:w="4610"/>
          </w:tcPr>
          <w:p>
            <w:pPr>
              <w:spacing w:after="0" w:line="252" w:lineRule="auto"/>
            </w:pPr>
            <w:r>
              <w:rPr>
                <w:rFonts w:ascii="Calibri" w:hAnsi="Calibri"/>
                <w:color w:val="13233A"/>
                <w:sz w:val="15"/>
              </w:rPr>
              <w:t>Controlador de health: lee req, valida parámetros básicos, llama al servicio y construye la respuesta HTTP.</w:t>
            </w:r>
          </w:p>
        </w:tc>
      </w:tr>
      <w:tr>
        <w:trPr>
          <w:cantSplit/>
        </w:trPr>
        <w:tc>
          <w:tcPr>
            <w:tcW w:type="dxa" w:w="3550"/>
          </w:tcPr>
          <w:p>
            <w:pPr>
              <w:spacing w:after="0" w:line="252" w:lineRule="auto"/>
            </w:pPr>
            <w:r>
              <w:rPr>
                <w:rFonts w:ascii="Calibri" w:hAnsi="Calibri"/>
                <w:color w:val="13233A"/>
                <w:sz w:val="15"/>
              </w:rPr>
              <w:t>database/migrations/20260817_faregas_facturacion.sql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facturacion;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database/migrations/20260817_faregas_pagos.sql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pagos;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database/migrations/20260824_faregas_borradores_persistentes.sql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borradores persistentes;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database/migrations/20260824_faregas_categorias_servicios_tarifas.sql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categorias servicios tarifas;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database/migrations/20260824_faregas_panel_historial_fechas.sql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panel historial fechas;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database/migrations/20260824_faregas_productos_facturacion.sql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productos facturacion;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database/migrations/20260824_faregas_reorden_wizard_previsualizacion.sql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reorden wizard previsualizacion;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database/migrations/20260824_faregas_series_comprobante.sql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series comprobante;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database/migrations/20260824_faregas_tarifas_administrables.sql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tarifas administrables;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database/migrations/20260824_faregas_tipo_flujo_servicio.sql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tipo flujo servicio;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database/migrations/20260825_faregas_descuentos.sql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descuentos;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database/migrations/20260825_faregas_empresa_ruc_unico.sql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empresa ruc unico;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database/migrations/20260825_faregas_empresas_plantas.sql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empresas plantas;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database/migrations/20260825_faregas_notas_credito_debito.sql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notas credito debito;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database/migrations/20260825_faregas_operacion_comercial_9a.sql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operacion comercial 9a;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database/migrations/20260825_faregas_series_notas_por_referencia.sql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series notas por referencia;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database/migrations/20260826_faregas_descuentos_reglas_por_codigo.sql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descuentos reglas por codigo;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database/migrations/20260826_faregas_descuentos_reglas_por_sede_servicio.sql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descuentos reglas por sede servicio;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database/migrations/20260826_faregas_descuentos_zz_reglas_compartidas.sql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descuentos zz reglas compartidas;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database/migrations/20260827_faregas_auditoria_operativa.sql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auditoria operativa;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database/migrations/20260827_faregas_correlativos_por_modalidad.sql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correlativos por modalidad;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database/migrations/20260827_faregas_correlativos_temporales_desarrollo.sql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correlativos temporales desarrollo;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database/migrations/20260827_faregas_descuentos_ejecutivo.sql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descuentos ejecutivo;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database/migrations/20260827_faregas_ejecutivos.sql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ejecutivos;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database/migrations/20260827_faregas_tipos_campana.sql</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Migración versionada de base de datos para tipos campana; se ejecuta en orden cronológico y una sola vez por entorno.</w:t>
            </w:r>
          </w:p>
        </w:tc>
      </w:tr>
      <w:tr>
        <w:trPr>
          <w:cantSplit/>
        </w:trPr>
        <w:tc>
          <w:tcPr>
            <w:tcW w:type="dxa" w:w="3550"/>
          </w:tcPr>
          <w:p>
            <w:pPr>
              <w:spacing w:after="0" w:line="252" w:lineRule="auto"/>
            </w:pPr>
            <w:r>
              <w:rPr>
                <w:rFonts w:ascii="Calibri" w:hAnsi="Calibri"/>
                <w:color w:val="13233A"/>
                <w:sz w:val="15"/>
              </w:rPr>
              <w:t>database/scripts/import_faregas_productos.js</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Carga controlada del seed JSON al catálogo de productos/SKU FAREGAS.</w:t>
            </w:r>
          </w:p>
        </w:tc>
      </w:tr>
      <w:tr>
        <w:trPr>
          <w:cantSplit/>
        </w:trPr>
        <w:tc>
          <w:tcPr>
            <w:tcW w:type="dxa" w:w="3550"/>
          </w:tcPr>
          <w:p>
            <w:pPr>
              <w:spacing w:after="0" w:line="252" w:lineRule="auto"/>
            </w:pPr>
            <w:r>
              <w:rPr>
                <w:rFonts w:ascii="Calibri" w:hAnsi="Calibri"/>
                <w:color w:val="13233A"/>
                <w:sz w:val="15"/>
              </w:rPr>
              <w:t>database/seeds/faregas_productos_20260819.json</w:t>
            </w:r>
          </w:p>
        </w:tc>
        <w:tc>
          <w:tcPr>
            <w:tcW w:type="dxa" w:w="1200"/>
          </w:tcPr>
          <w:p>
            <w:pPr>
              <w:spacing w:after="0" w:line="252" w:lineRule="auto"/>
            </w:pPr>
            <w:r>
              <w:rPr>
                <w:rFonts w:ascii="Calibri" w:hAnsi="Calibri"/>
                <w:color w:val="13233A"/>
                <w:sz w:val="15"/>
              </w:rPr>
              <w:t>database</w:t>
            </w:r>
          </w:p>
        </w:tc>
        <w:tc>
          <w:tcPr>
            <w:tcW w:type="dxa" w:w="4610"/>
          </w:tcPr>
          <w:p>
            <w:pPr>
              <w:spacing w:after="0" w:line="252" w:lineRule="auto"/>
            </w:pPr>
            <w:r>
              <w:rPr>
                <w:rFonts w:ascii="Calibri" w:hAnsi="Calibri"/>
                <w:color w:val="13233A"/>
                <w:sz w:val="15"/>
              </w:rPr>
              <w:t>Datos fuente versionados del catálogo inicial de productos.</w:t>
            </w:r>
          </w:p>
        </w:tc>
      </w:tr>
      <w:tr>
        <w:trPr>
          <w:cantSplit/>
        </w:trPr>
        <w:tc>
          <w:tcPr>
            <w:tcW w:type="dxa" w:w="3550"/>
          </w:tcPr>
          <w:p>
            <w:pPr>
              <w:spacing w:after="0" w:line="252" w:lineRule="auto"/>
            </w:pPr>
            <w:r>
              <w:rPr>
                <w:rFonts w:ascii="Calibri" w:hAnsi="Calibri"/>
                <w:color w:val="13233A"/>
                <w:sz w:val="15"/>
              </w:rPr>
              <w:t>integrations/farenet-read.adapter.js</w:t>
            </w:r>
          </w:p>
        </w:tc>
        <w:tc>
          <w:tcPr>
            <w:tcW w:type="dxa" w:w="1200"/>
          </w:tcPr>
          <w:p>
            <w:pPr>
              <w:spacing w:after="0" w:line="252" w:lineRule="auto"/>
            </w:pPr>
            <w:r>
              <w:rPr>
                <w:rFonts w:ascii="Calibri" w:hAnsi="Calibri"/>
                <w:color w:val="13233A"/>
                <w:sz w:val="15"/>
              </w:rPr>
              <w:t>integrations</w:t>
            </w:r>
          </w:p>
        </w:tc>
        <w:tc>
          <w:tcPr>
            <w:tcW w:type="dxa" w:w="4610"/>
          </w:tcPr>
          <w:p>
            <w:pPr>
              <w:spacing w:after="0" w:line="252" w:lineRule="auto"/>
            </w:pPr>
            <w:r>
              <w:rPr>
                <w:rFonts w:ascii="Calibri" w:hAnsi="Calibri"/>
                <w:color w:val="13233A"/>
                <w:sz w:val="15"/>
              </w:rPr>
              <w:t>Frontera de solo lectura hacia tablas FARENET para reutilizar personas y vehículos.</w:t>
            </w:r>
          </w:p>
        </w:tc>
      </w:tr>
      <w:tr>
        <w:trPr>
          <w:cantSplit/>
        </w:trPr>
        <w:tc>
          <w:tcPr>
            <w:tcW w:type="dxa" w:w="3550"/>
          </w:tcPr>
          <w:p>
            <w:pPr>
              <w:spacing w:after="0" w:line="252" w:lineRule="auto"/>
            </w:pPr>
            <w:r>
              <w:rPr>
                <w:rFonts w:ascii="Calibri" w:hAnsi="Calibri"/>
                <w:color w:val="13233A"/>
                <w:sz w:val="15"/>
              </w:rPr>
              <w:t>integrations/nubefact-faregas.adapter.js</w:t>
            </w:r>
          </w:p>
        </w:tc>
        <w:tc>
          <w:tcPr>
            <w:tcW w:type="dxa" w:w="1200"/>
          </w:tcPr>
          <w:p>
            <w:pPr>
              <w:spacing w:after="0" w:line="252" w:lineRule="auto"/>
            </w:pPr>
            <w:r>
              <w:rPr>
                <w:rFonts w:ascii="Calibri" w:hAnsi="Calibri"/>
                <w:color w:val="13233A"/>
                <w:sz w:val="15"/>
              </w:rPr>
              <w:t>integrations</w:t>
            </w:r>
          </w:p>
        </w:tc>
        <w:tc>
          <w:tcPr>
            <w:tcW w:type="dxa" w:w="4610"/>
          </w:tcPr>
          <w:p>
            <w:pPr>
              <w:spacing w:after="0" w:line="252" w:lineRule="auto"/>
            </w:pPr>
            <w:r>
              <w:rPr>
                <w:rFonts w:ascii="Calibri" w:hAnsi="Calibri"/>
                <w:color w:val="13233A"/>
                <w:sz w:val="15"/>
              </w:rPr>
              <w:t>Frontera hacia Nubefact; encapsula el envío/consulta para no mezclar proveedor con dominio.</w:t>
            </w:r>
          </w:p>
        </w:tc>
      </w:tr>
      <w:tr>
        <w:trPr>
          <w:cantSplit/>
        </w:trPr>
        <w:tc>
          <w:tcPr>
            <w:tcW w:type="dxa" w:w="3550"/>
          </w:tcPr>
          <w:p>
            <w:pPr>
              <w:spacing w:after="0" w:line="252" w:lineRule="auto"/>
            </w:pPr>
            <w:r>
              <w:rPr>
                <w:rFonts w:ascii="Calibri" w:hAnsi="Calibri"/>
                <w:color w:val="13233A"/>
                <w:sz w:val="15"/>
              </w:rPr>
              <w:t>mappers/faregas-vehiculo.mapper.js</w:t>
            </w:r>
          </w:p>
        </w:tc>
        <w:tc>
          <w:tcPr>
            <w:tcW w:type="dxa" w:w="1200"/>
          </w:tcPr>
          <w:p>
            <w:pPr>
              <w:spacing w:after="0" w:line="252" w:lineRule="auto"/>
            </w:pPr>
            <w:r>
              <w:rPr>
                <w:rFonts w:ascii="Calibri" w:hAnsi="Calibri"/>
                <w:color w:val="13233A"/>
                <w:sz w:val="15"/>
              </w:rPr>
              <w:t>mappers</w:t>
            </w:r>
          </w:p>
        </w:tc>
        <w:tc>
          <w:tcPr>
            <w:tcW w:type="dxa" w:w="4610"/>
          </w:tcPr>
          <w:p>
            <w:pPr>
              <w:spacing w:after="0" w:line="252" w:lineRule="auto"/>
            </w:pPr>
            <w:r>
              <w:rPr>
                <w:rFonts w:ascii="Calibri" w:hAnsi="Calibri"/>
                <w:color w:val="13233A"/>
                <w:sz w:val="15"/>
              </w:rPr>
              <w:t>Transforma columnas vehiculares FARENET al contrato técnico esperado por FAREGAS.</w:t>
            </w:r>
          </w:p>
        </w:tc>
      </w:tr>
      <w:tr>
        <w:trPr>
          <w:cantSplit/>
        </w:trPr>
        <w:tc>
          <w:tcPr>
            <w:tcW w:type="dxa" w:w="3550"/>
          </w:tcPr>
          <w:p>
            <w:pPr>
              <w:spacing w:after="0" w:line="252" w:lineRule="auto"/>
            </w:pPr>
            <w:r>
              <w:rPr>
                <w:rFonts w:ascii="Calibri" w:hAnsi="Calibri"/>
                <w:color w:val="13233A"/>
                <w:sz w:val="15"/>
              </w:rPr>
              <w:t>middlewares/faregas-auditoria-operativa.middleware.js</w:t>
            </w:r>
          </w:p>
        </w:tc>
        <w:tc>
          <w:tcPr>
            <w:tcW w:type="dxa" w:w="1200"/>
          </w:tcPr>
          <w:p>
            <w:pPr>
              <w:spacing w:after="0" w:line="252" w:lineRule="auto"/>
            </w:pPr>
            <w:r>
              <w:rPr>
                <w:rFonts w:ascii="Calibri" w:hAnsi="Calibri"/>
                <w:color w:val="13233A"/>
                <w:sz w:val="15"/>
              </w:rPr>
              <w:t>middlewares</w:t>
            </w:r>
          </w:p>
        </w:tc>
        <w:tc>
          <w:tcPr>
            <w:tcW w:type="dxa" w:w="4610"/>
          </w:tcPr>
          <w:p>
            <w:pPr>
              <w:spacing w:after="0" w:line="252" w:lineRule="auto"/>
            </w:pPr>
            <w:r>
              <w:rPr>
                <w:rFonts w:ascii="Calibri" w:hAnsi="Calibri"/>
                <w:color w:val="13233A"/>
                <w:sz w:val="15"/>
              </w:rPr>
              <w:t>Registra automáticamente cambios administrativos exitosos.</w:t>
            </w:r>
          </w:p>
        </w:tc>
      </w:tr>
      <w:tr>
        <w:trPr>
          <w:cantSplit/>
        </w:trPr>
        <w:tc>
          <w:tcPr>
            <w:tcW w:type="dxa" w:w="3550"/>
          </w:tcPr>
          <w:p>
            <w:pPr>
              <w:spacing w:after="0" w:line="252" w:lineRule="auto"/>
            </w:pPr>
            <w:r>
              <w:rPr>
                <w:rFonts w:ascii="Calibri" w:hAnsi="Calibri"/>
                <w:color w:val="13233A"/>
                <w:sz w:val="15"/>
              </w:rPr>
              <w:t>middlewares/faregas-auth.middleware.js</w:t>
            </w:r>
          </w:p>
        </w:tc>
        <w:tc>
          <w:tcPr>
            <w:tcW w:type="dxa" w:w="1200"/>
          </w:tcPr>
          <w:p>
            <w:pPr>
              <w:spacing w:after="0" w:line="252" w:lineRule="auto"/>
            </w:pPr>
            <w:r>
              <w:rPr>
                <w:rFonts w:ascii="Calibri" w:hAnsi="Calibri"/>
                <w:color w:val="13233A"/>
                <w:sz w:val="15"/>
              </w:rPr>
              <w:t>middlewares</w:t>
            </w:r>
          </w:p>
        </w:tc>
        <w:tc>
          <w:tcPr>
            <w:tcW w:type="dxa" w:w="4610"/>
          </w:tcPr>
          <w:p>
            <w:pPr>
              <w:spacing w:after="0" w:line="252" w:lineRule="auto"/>
            </w:pPr>
            <w:r>
              <w:rPr>
                <w:rFonts w:ascii="Calibri" w:hAnsi="Calibri"/>
                <w:color w:val="13233A"/>
                <w:sz w:val="15"/>
              </w:rPr>
              <w:t>Valida el JWT FAREGAS, la sede activa y adjunta el contexto del usuario al request.</w:t>
            </w:r>
          </w:p>
        </w:tc>
      </w:tr>
      <w:tr>
        <w:trPr>
          <w:cantSplit/>
        </w:trPr>
        <w:tc>
          <w:tcPr>
            <w:tcW w:type="dxa" w:w="3550"/>
          </w:tcPr>
          <w:p>
            <w:pPr>
              <w:spacing w:after="0" w:line="252" w:lineRule="auto"/>
            </w:pPr>
            <w:r>
              <w:rPr>
                <w:rFonts w:ascii="Calibri" w:hAnsi="Calibri"/>
                <w:color w:val="13233A"/>
                <w:sz w:val="15"/>
              </w:rPr>
              <w:t>routes/faregas-auditoria.routes.js</w:t>
            </w:r>
          </w:p>
        </w:tc>
        <w:tc>
          <w:tcPr>
            <w:tcW w:type="dxa" w:w="1200"/>
          </w:tcPr>
          <w:p>
            <w:pPr>
              <w:spacing w:after="0" w:line="252" w:lineRule="auto"/>
            </w:pPr>
            <w:r>
              <w:rPr>
                <w:rFonts w:ascii="Calibri" w:hAnsi="Calibri"/>
                <w:color w:val="13233A"/>
                <w:sz w:val="15"/>
              </w:rPr>
              <w:t>routes</w:t>
            </w:r>
          </w:p>
        </w:tc>
        <w:tc>
          <w:tcPr>
            <w:tcW w:type="dxa" w:w="4610"/>
          </w:tcPr>
          <w:p>
            <w:pPr>
              <w:spacing w:after="0" w:line="252" w:lineRule="auto"/>
            </w:pPr>
            <w:r>
              <w:rPr>
                <w:rFonts w:ascii="Calibri" w:hAnsi="Calibri"/>
                <w:color w:val="13233A"/>
                <w:sz w:val="15"/>
              </w:rPr>
              <w:t>Consulta de la trazabilidad y filtros de auditoría FAREGAS.</w:t>
            </w:r>
          </w:p>
        </w:tc>
      </w:tr>
      <w:tr>
        <w:trPr>
          <w:cantSplit/>
        </w:trPr>
        <w:tc>
          <w:tcPr>
            <w:tcW w:type="dxa" w:w="3550"/>
          </w:tcPr>
          <w:p>
            <w:pPr>
              <w:spacing w:after="0" w:line="252" w:lineRule="auto"/>
            </w:pPr>
            <w:r>
              <w:rPr>
                <w:rFonts w:ascii="Calibri" w:hAnsi="Calibri"/>
                <w:color w:val="13233A"/>
                <w:sz w:val="15"/>
              </w:rPr>
              <w:t>routes/faregas-auth.routes.js</w:t>
            </w:r>
          </w:p>
        </w:tc>
        <w:tc>
          <w:tcPr>
            <w:tcW w:type="dxa" w:w="1200"/>
          </w:tcPr>
          <w:p>
            <w:pPr>
              <w:spacing w:after="0" w:line="252" w:lineRule="auto"/>
            </w:pPr>
            <w:r>
              <w:rPr>
                <w:rFonts w:ascii="Calibri" w:hAnsi="Calibri"/>
                <w:color w:val="13233A"/>
                <w:sz w:val="15"/>
              </w:rPr>
              <w:t>routes</w:t>
            </w:r>
          </w:p>
        </w:tc>
        <w:tc>
          <w:tcPr>
            <w:tcW w:type="dxa" w:w="4610"/>
          </w:tcPr>
          <w:p>
            <w:pPr>
              <w:spacing w:after="0" w:line="252" w:lineRule="auto"/>
            </w:pPr>
            <w:r>
              <w:rPr>
                <w:rFonts w:ascii="Calibri" w:hAnsi="Calibri"/>
                <w:color w:val="13233A"/>
                <w:sz w:val="15"/>
              </w:rPr>
              <w:t>Endpoints de validación, login, confirmación y cambio de sede.</w:t>
            </w:r>
          </w:p>
        </w:tc>
      </w:tr>
      <w:tr>
        <w:trPr>
          <w:cantSplit/>
        </w:trPr>
        <w:tc>
          <w:tcPr>
            <w:tcW w:type="dxa" w:w="3550"/>
          </w:tcPr>
          <w:p>
            <w:pPr>
              <w:spacing w:after="0" w:line="252" w:lineRule="auto"/>
            </w:pPr>
            <w:r>
              <w:rPr>
                <w:rFonts w:ascii="Calibri" w:hAnsi="Calibri"/>
                <w:color w:val="13233A"/>
                <w:sz w:val="15"/>
              </w:rPr>
              <w:t>routes/faregas-certificados.routes.js</w:t>
            </w:r>
          </w:p>
        </w:tc>
        <w:tc>
          <w:tcPr>
            <w:tcW w:type="dxa" w:w="1200"/>
          </w:tcPr>
          <w:p>
            <w:pPr>
              <w:spacing w:after="0" w:line="252" w:lineRule="auto"/>
            </w:pPr>
            <w:r>
              <w:rPr>
                <w:rFonts w:ascii="Calibri" w:hAnsi="Calibri"/>
                <w:color w:val="13233A"/>
                <w:sz w:val="15"/>
              </w:rPr>
              <w:t>routes</w:t>
            </w:r>
          </w:p>
        </w:tc>
        <w:tc>
          <w:tcPr>
            <w:tcW w:type="dxa" w:w="4610"/>
          </w:tcPr>
          <w:p>
            <w:pPr>
              <w:spacing w:after="0" w:line="252" w:lineRule="auto"/>
            </w:pPr>
            <w:r>
              <w:rPr>
                <w:rFonts w:ascii="Calibri" w:hAnsi="Calibri"/>
                <w:color w:val="13233A"/>
                <w:sz w:val="15"/>
              </w:rPr>
              <w:t>Endpoints del expediente, pasos técnicos, correlativos, previsualización y emisión.</w:t>
            </w:r>
          </w:p>
        </w:tc>
      </w:tr>
      <w:tr>
        <w:trPr>
          <w:cantSplit/>
        </w:trPr>
        <w:tc>
          <w:tcPr>
            <w:tcW w:type="dxa" w:w="3550"/>
          </w:tcPr>
          <w:p>
            <w:pPr>
              <w:spacing w:after="0" w:line="252" w:lineRule="auto"/>
            </w:pPr>
            <w:r>
              <w:rPr>
                <w:rFonts w:ascii="Calibri" w:hAnsi="Calibri"/>
                <w:color w:val="13233A"/>
                <w:sz w:val="15"/>
              </w:rPr>
              <w:t>routes/faregas-clientes.routes.js</w:t>
            </w:r>
          </w:p>
        </w:tc>
        <w:tc>
          <w:tcPr>
            <w:tcW w:type="dxa" w:w="1200"/>
          </w:tcPr>
          <w:p>
            <w:pPr>
              <w:spacing w:after="0" w:line="252" w:lineRule="auto"/>
            </w:pPr>
            <w:r>
              <w:rPr>
                <w:rFonts w:ascii="Calibri" w:hAnsi="Calibri"/>
                <w:color w:val="13233A"/>
                <w:sz w:val="15"/>
              </w:rPr>
              <w:t>routes</w:t>
            </w:r>
          </w:p>
        </w:tc>
        <w:tc>
          <w:tcPr>
            <w:tcW w:type="dxa" w:w="4610"/>
          </w:tcPr>
          <w:p>
            <w:pPr>
              <w:spacing w:after="0" w:line="252" w:lineRule="auto"/>
            </w:pPr>
            <w:r>
              <w:rPr>
                <w:rFonts w:ascii="Calibri" w:hAnsi="Calibri"/>
                <w:color w:val="13233A"/>
                <w:sz w:val="15"/>
              </w:rPr>
              <w:t>Endpoints de clientes y autocompletado de persona/vehículo.</w:t>
            </w:r>
          </w:p>
        </w:tc>
      </w:tr>
      <w:tr>
        <w:trPr>
          <w:cantSplit/>
        </w:trPr>
        <w:tc>
          <w:tcPr>
            <w:tcW w:type="dxa" w:w="3550"/>
          </w:tcPr>
          <w:p>
            <w:pPr>
              <w:spacing w:after="0" w:line="252" w:lineRule="auto"/>
            </w:pPr>
            <w:r>
              <w:rPr>
                <w:rFonts w:ascii="Calibri" w:hAnsi="Calibri"/>
                <w:color w:val="13233A"/>
                <w:sz w:val="15"/>
              </w:rPr>
              <w:t>routes/faregas-config.routes.js</w:t>
            </w:r>
          </w:p>
        </w:tc>
        <w:tc>
          <w:tcPr>
            <w:tcW w:type="dxa" w:w="1200"/>
          </w:tcPr>
          <w:p>
            <w:pPr>
              <w:spacing w:after="0" w:line="252" w:lineRule="auto"/>
            </w:pPr>
            <w:r>
              <w:rPr>
                <w:rFonts w:ascii="Calibri" w:hAnsi="Calibri"/>
                <w:color w:val="13233A"/>
                <w:sz w:val="15"/>
              </w:rPr>
              <w:t>routes</w:t>
            </w:r>
          </w:p>
        </w:tc>
        <w:tc>
          <w:tcPr>
            <w:tcW w:type="dxa" w:w="4610"/>
          </w:tcPr>
          <w:p>
            <w:pPr>
              <w:spacing w:after="0" w:line="252" w:lineRule="auto"/>
            </w:pPr>
            <w:r>
              <w:rPr>
                <w:rFonts w:ascii="Calibri" w:hAnsi="Calibri"/>
                <w:color w:val="13233A"/>
                <w:sz w:val="15"/>
              </w:rPr>
              <w:t>Endpoints administrativos de sedes, empresas, categorías, servicios, productos, tarifas, series y correlativos.</w:t>
            </w:r>
          </w:p>
        </w:tc>
      </w:tr>
      <w:tr>
        <w:trPr>
          <w:cantSplit/>
        </w:trPr>
        <w:tc>
          <w:tcPr>
            <w:tcW w:type="dxa" w:w="3550"/>
          </w:tcPr>
          <w:p>
            <w:pPr>
              <w:spacing w:after="0" w:line="252" w:lineRule="auto"/>
            </w:pPr>
            <w:r>
              <w:rPr>
                <w:rFonts w:ascii="Calibri" w:hAnsi="Calibri"/>
                <w:color w:val="13233A"/>
                <w:sz w:val="15"/>
              </w:rPr>
              <w:t>routes/faregas-descuentos.routes.js</w:t>
            </w:r>
          </w:p>
        </w:tc>
        <w:tc>
          <w:tcPr>
            <w:tcW w:type="dxa" w:w="1200"/>
          </w:tcPr>
          <w:p>
            <w:pPr>
              <w:spacing w:after="0" w:line="252" w:lineRule="auto"/>
            </w:pPr>
            <w:r>
              <w:rPr>
                <w:rFonts w:ascii="Calibri" w:hAnsi="Calibri"/>
                <w:color w:val="13233A"/>
                <w:sz w:val="15"/>
              </w:rPr>
              <w:t>routes</w:t>
            </w:r>
          </w:p>
        </w:tc>
        <w:tc>
          <w:tcPr>
            <w:tcW w:type="dxa" w:w="4610"/>
          </w:tcPr>
          <w:p>
            <w:pPr>
              <w:spacing w:after="0" w:line="252" w:lineRule="auto"/>
            </w:pPr>
            <w:r>
              <w:rPr>
                <w:rFonts w:ascii="Calibri" w:hAnsi="Calibri"/>
                <w:color w:val="13233A"/>
                <w:sz w:val="15"/>
              </w:rPr>
              <w:t>Endpoints de campañas, reglas, códigos y aplicación de descuentos.</w:t>
            </w:r>
          </w:p>
        </w:tc>
      </w:tr>
      <w:tr>
        <w:trPr>
          <w:cantSplit/>
        </w:trPr>
        <w:tc>
          <w:tcPr>
            <w:tcW w:type="dxa" w:w="3550"/>
          </w:tcPr>
          <w:p>
            <w:pPr>
              <w:spacing w:after="0" w:line="252" w:lineRule="auto"/>
            </w:pPr>
            <w:r>
              <w:rPr>
                <w:rFonts w:ascii="Calibri" w:hAnsi="Calibri"/>
                <w:color w:val="13233A"/>
                <w:sz w:val="15"/>
              </w:rPr>
              <w:t>routes/faregas-tarifas.routes.js</w:t>
            </w:r>
          </w:p>
        </w:tc>
        <w:tc>
          <w:tcPr>
            <w:tcW w:type="dxa" w:w="1200"/>
          </w:tcPr>
          <w:p>
            <w:pPr>
              <w:spacing w:after="0" w:line="252" w:lineRule="auto"/>
            </w:pPr>
            <w:r>
              <w:rPr>
                <w:rFonts w:ascii="Calibri" w:hAnsi="Calibri"/>
                <w:color w:val="13233A"/>
                <w:sz w:val="15"/>
              </w:rPr>
              <w:t>routes</w:t>
            </w:r>
          </w:p>
        </w:tc>
        <w:tc>
          <w:tcPr>
            <w:tcW w:type="dxa" w:w="4610"/>
          </w:tcPr>
          <w:p>
            <w:pPr>
              <w:spacing w:after="0" w:line="252" w:lineRule="auto"/>
            </w:pPr>
            <w:r>
              <w:rPr>
                <w:rFonts w:ascii="Calibri" w:hAnsi="Calibri"/>
                <w:color w:val="13233A"/>
                <w:sz w:val="15"/>
              </w:rPr>
              <w:t>Consulta del catálogo operativo disponible por sede.</w:t>
            </w:r>
          </w:p>
        </w:tc>
      </w:tr>
      <w:tr>
        <w:trPr>
          <w:cantSplit/>
        </w:trPr>
        <w:tc>
          <w:tcPr>
            <w:tcW w:type="dxa" w:w="3550"/>
          </w:tcPr>
          <w:p>
            <w:pPr>
              <w:spacing w:after="0" w:line="252" w:lineRule="auto"/>
            </w:pPr>
            <w:r>
              <w:rPr>
                <w:rFonts w:ascii="Calibri" w:hAnsi="Calibri"/>
                <w:color w:val="13233A"/>
                <w:sz w:val="15"/>
              </w:rPr>
              <w:t>routes/faregas-usuarios.routes.js</w:t>
            </w:r>
          </w:p>
        </w:tc>
        <w:tc>
          <w:tcPr>
            <w:tcW w:type="dxa" w:w="1200"/>
          </w:tcPr>
          <w:p>
            <w:pPr>
              <w:spacing w:after="0" w:line="252" w:lineRule="auto"/>
            </w:pPr>
            <w:r>
              <w:rPr>
                <w:rFonts w:ascii="Calibri" w:hAnsi="Calibri"/>
                <w:color w:val="13233A"/>
                <w:sz w:val="15"/>
              </w:rPr>
              <w:t>routes</w:t>
            </w:r>
          </w:p>
        </w:tc>
        <w:tc>
          <w:tcPr>
            <w:tcW w:type="dxa" w:w="4610"/>
          </w:tcPr>
          <w:p>
            <w:pPr>
              <w:spacing w:after="0" w:line="252" w:lineRule="auto"/>
            </w:pPr>
            <w:r>
              <w:rPr>
                <w:rFonts w:ascii="Calibri" w:hAnsi="Calibri"/>
                <w:color w:val="13233A"/>
                <w:sz w:val="15"/>
              </w:rPr>
              <w:t>CRUD de usuarios, perfiles, permisos y plantas.</w:t>
            </w:r>
          </w:p>
        </w:tc>
      </w:tr>
      <w:tr>
        <w:trPr>
          <w:cantSplit/>
        </w:trPr>
        <w:tc>
          <w:tcPr>
            <w:tcW w:type="dxa" w:w="3550"/>
          </w:tcPr>
          <w:p>
            <w:pPr>
              <w:spacing w:after="0" w:line="252" w:lineRule="auto"/>
            </w:pPr>
            <w:r>
              <w:rPr>
                <w:rFonts w:ascii="Calibri" w:hAnsi="Calibri"/>
                <w:color w:val="13233A"/>
                <w:sz w:val="15"/>
              </w:rPr>
              <w:t>routes/faregas.routes.js</w:t>
            </w:r>
          </w:p>
        </w:tc>
        <w:tc>
          <w:tcPr>
            <w:tcW w:type="dxa" w:w="1200"/>
          </w:tcPr>
          <w:p>
            <w:pPr>
              <w:spacing w:after="0" w:line="252" w:lineRule="auto"/>
            </w:pPr>
            <w:r>
              <w:rPr>
                <w:rFonts w:ascii="Calibri" w:hAnsi="Calibri"/>
                <w:color w:val="13233A"/>
                <w:sz w:val="15"/>
              </w:rPr>
              <w:t>routes</w:t>
            </w:r>
          </w:p>
        </w:tc>
        <w:tc>
          <w:tcPr>
            <w:tcW w:type="dxa" w:w="4610"/>
          </w:tcPr>
          <w:p>
            <w:pPr>
              <w:spacing w:after="0" w:line="252" w:lineRule="auto"/>
            </w:pPr>
            <w:r>
              <w:rPr>
                <w:rFonts w:ascii="Calibri" w:hAnsi="Calibri"/>
                <w:color w:val="13233A"/>
                <w:sz w:val="15"/>
              </w:rPr>
              <w:t>Router raíz del módulo; monta auditoría, certificados, clientes, tarifas, configuración, descuentos y usuarios.</w:t>
            </w:r>
          </w:p>
        </w:tc>
      </w:tr>
      <w:tr>
        <w:trPr>
          <w:cantSplit/>
        </w:trPr>
        <w:tc>
          <w:tcPr>
            <w:tcW w:type="dxa" w:w="3550"/>
          </w:tcPr>
          <w:p>
            <w:pPr>
              <w:spacing w:after="0" w:line="252" w:lineRule="auto"/>
            </w:pPr>
            <w:r>
              <w:rPr>
                <w:rFonts w:ascii="Calibri" w:hAnsi="Calibri"/>
                <w:color w:val="13233A"/>
                <w:sz w:val="15"/>
              </w:rPr>
              <w:t>scripts/generate_docs.js</w:t>
            </w:r>
          </w:p>
        </w:tc>
        <w:tc>
          <w:tcPr>
            <w:tcW w:type="dxa" w:w="1200"/>
          </w:tcPr>
          <w:p>
            <w:pPr>
              <w:spacing w:after="0" w:line="252" w:lineRule="auto"/>
            </w:pPr>
            <w:r>
              <w:rPr>
                <w:rFonts w:ascii="Calibri" w:hAnsi="Calibri"/>
                <w:color w:val="13233A"/>
                <w:sz w:val="15"/>
              </w:rPr>
              <w:t>scripts</w:t>
            </w:r>
          </w:p>
        </w:tc>
        <w:tc>
          <w:tcPr>
            <w:tcW w:type="dxa" w:w="4610"/>
          </w:tcPr>
          <w:p>
            <w:pPr>
              <w:spacing w:after="0" w:line="252" w:lineRule="auto"/>
            </w:pPr>
            <w:r>
              <w:rPr>
                <w:rFonts w:ascii="Calibri" w:hAnsi="Calibri"/>
                <w:color w:val="13233A"/>
                <w:sz w:val="15"/>
              </w:rPr>
              <w:t>Generador histórico de documentación de un subconjunto de tablas; no participa del runtime web.</w:t>
            </w:r>
          </w:p>
        </w:tc>
      </w:tr>
      <w:tr>
        <w:trPr>
          <w:cantSplit/>
        </w:trPr>
        <w:tc>
          <w:tcPr>
            <w:tcW w:type="dxa" w:w="3550"/>
          </w:tcPr>
          <w:p>
            <w:pPr>
              <w:spacing w:after="0" w:line="252" w:lineRule="auto"/>
            </w:pPr>
            <w:r>
              <w:rPr>
                <w:rFonts w:ascii="Calibri" w:hAnsi="Calibri"/>
                <w:color w:val="13233A"/>
                <w:sz w:val="15"/>
              </w:rPr>
              <w:t>services/faregas-auditoria.service.js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de negocio y consultas/transacciones de auditoria; es la capa central del caso de uso.</w:t>
            </w:r>
          </w:p>
        </w:tc>
      </w:tr>
      <w:tr>
        <w:trPr>
          <w:cantSplit/>
        </w:trPr>
        <w:tc>
          <w:tcPr>
            <w:tcW w:type="dxa" w:w="3550"/>
          </w:tcPr>
          <w:p>
            <w:pPr>
              <w:spacing w:after="0" w:line="252" w:lineRule="auto"/>
            </w:pPr>
            <w:r>
              <w:rPr>
                <w:rFonts w:ascii="Calibri" w:hAnsi="Calibri"/>
                <w:color w:val="13233A"/>
                <w:sz w:val="15"/>
              </w:rPr>
              <w:t>services/faregas-auth.service.js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de negocio y consultas/transacciones de auth; es la capa central del caso de uso.</w:t>
            </w:r>
          </w:p>
        </w:tc>
      </w:tr>
      <w:tr>
        <w:trPr>
          <w:cantSplit/>
        </w:trPr>
        <w:tc>
          <w:tcPr>
            <w:tcW w:type="dxa" w:w="3550"/>
          </w:tcPr>
          <w:p>
            <w:pPr>
              <w:spacing w:after="0" w:line="252" w:lineRule="auto"/>
            </w:pPr>
            <w:r>
              <w:rPr>
                <w:rFonts w:ascii="Calibri" w:hAnsi="Calibri"/>
                <w:color w:val="13233A"/>
                <w:sz w:val="15"/>
              </w:rPr>
              <w:t>services/faregas-certificados.service.js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de negocio y consultas/transacciones de certificados; es la capa central del caso de uso.</w:t>
            </w:r>
          </w:p>
        </w:tc>
      </w:tr>
      <w:tr>
        <w:trPr>
          <w:cantSplit/>
        </w:trPr>
        <w:tc>
          <w:tcPr>
            <w:tcW w:type="dxa" w:w="3550"/>
          </w:tcPr>
          <w:p>
            <w:pPr>
              <w:spacing w:after="0" w:line="252" w:lineRule="auto"/>
            </w:pPr>
            <w:r>
              <w:rPr>
                <w:rFonts w:ascii="Calibri" w:hAnsi="Calibri"/>
                <w:color w:val="13233A"/>
                <w:sz w:val="15"/>
              </w:rPr>
              <w:t>services/faregas-clientes.service.js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de negocio y consultas/transacciones de clientes; es la capa central del caso de uso.</w:t>
            </w:r>
          </w:p>
        </w:tc>
      </w:tr>
      <w:tr>
        <w:trPr>
          <w:cantSplit/>
        </w:trPr>
        <w:tc>
          <w:tcPr>
            <w:tcW w:type="dxa" w:w="3550"/>
          </w:tcPr>
          <w:p>
            <w:pPr>
              <w:spacing w:after="0" w:line="252" w:lineRule="auto"/>
            </w:pPr>
            <w:r>
              <w:rPr>
                <w:rFonts w:ascii="Calibri" w:hAnsi="Calibri"/>
                <w:color w:val="13233A"/>
                <w:sz w:val="15"/>
              </w:rPr>
              <w:t>services/faregas-config.service.js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de negocio y consultas/transacciones de config; es la capa central del caso de uso.</w:t>
            </w:r>
          </w:p>
        </w:tc>
      </w:tr>
      <w:tr>
        <w:trPr>
          <w:cantSplit/>
        </w:trPr>
        <w:tc>
          <w:tcPr>
            <w:tcW w:type="dxa" w:w="3550"/>
          </w:tcPr>
          <w:p>
            <w:pPr>
              <w:spacing w:after="0" w:line="252" w:lineRule="auto"/>
            </w:pPr>
            <w:r>
              <w:rPr>
                <w:rFonts w:ascii="Calibri" w:hAnsi="Calibri"/>
                <w:color w:val="13233A"/>
                <w:sz w:val="15"/>
              </w:rPr>
              <w:t>services/faregas-descuentos.service.js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de negocio y consultas/transacciones de descuentos; es la capa central del caso de uso.</w:t>
            </w:r>
          </w:p>
        </w:tc>
      </w:tr>
      <w:tr>
        <w:trPr>
          <w:cantSplit/>
        </w:trPr>
        <w:tc>
          <w:tcPr>
            <w:tcW w:type="dxa" w:w="3550"/>
          </w:tcPr>
          <w:p>
            <w:pPr>
              <w:spacing w:after="0" w:line="252" w:lineRule="auto"/>
            </w:pPr>
            <w:r>
              <w:rPr>
                <w:rFonts w:ascii="Calibri" w:hAnsi="Calibri"/>
                <w:color w:val="13233A"/>
                <w:sz w:val="15"/>
              </w:rPr>
              <w:t>services/faregas-facturacion.rules.js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puras de tipo de comprobante, estado y requisitos previos a facturar.</w:t>
            </w:r>
          </w:p>
        </w:tc>
      </w:tr>
      <w:tr>
        <w:trPr>
          <w:cantSplit/>
        </w:trPr>
        <w:tc>
          <w:tcPr>
            <w:tcW w:type="dxa" w:w="3550"/>
          </w:tcPr>
          <w:p>
            <w:pPr>
              <w:spacing w:after="0" w:line="252" w:lineRule="auto"/>
            </w:pPr>
            <w:r>
              <w:rPr>
                <w:rFonts w:ascii="Calibri" w:hAnsi="Calibri"/>
                <w:color w:val="13233A"/>
                <w:sz w:val="15"/>
              </w:rPr>
              <w:t>services/faregas-facturacion.service.js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de negocio y consultas/transacciones de facturacion; es la capa central del caso de uso.</w:t>
            </w:r>
          </w:p>
        </w:tc>
      </w:tr>
      <w:tr>
        <w:trPr>
          <w:cantSplit/>
        </w:trPr>
        <w:tc>
          <w:tcPr>
            <w:tcW w:type="dxa" w:w="3550"/>
          </w:tcPr>
          <w:p>
            <w:pPr>
              <w:spacing w:after="0" w:line="252" w:lineRule="auto"/>
            </w:pPr>
            <w:r>
              <w:rPr>
                <w:rFonts w:ascii="Calibri" w:hAnsi="Calibri"/>
                <w:color w:val="13233A"/>
                <w:sz w:val="15"/>
              </w:rPr>
              <w:t>services/faregas-pagos.rules.js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puras para validar montos, medios de pago y consistencia de la orden.</w:t>
            </w:r>
          </w:p>
        </w:tc>
      </w:tr>
      <w:tr>
        <w:trPr>
          <w:cantSplit/>
        </w:trPr>
        <w:tc>
          <w:tcPr>
            <w:tcW w:type="dxa" w:w="3550"/>
          </w:tcPr>
          <w:p>
            <w:pPr>
              <w:spacing w:after="0" w:line="252" w:lineRule="auto"/>
            </w:pPr>
            <w:r>
              <w:rPr>
                <w:rFonts w:ascii="Calibri" w:hAnsi="Calibri"/>
                <w:color w:val="13233A"/>
                <w:sz w:val="15"/>
              </w:rPr>
              <w:t>services/faregas-pagos.service.js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de negocio y consultas/transacciones de pagos; es la capa central del caso de uso.</w:t>
            </w:r>
          </w:p>
        </w:tc>
      </w:tr>
      <w:tr>
        <w:trPr>
          <w:cantSplit/>
        </w:trPr>
        <w:tc>
          <w:tcPr>
            <w:tcW w:type="dxa" w:w="3550"/>
          </w:tcPr>
          <w:p>
            <w:pPr>
              <w:spacing w:after="0" w:line="252" w:lineRule="auto"/>
            </w:pPr>
            <w:r>
              <w:rPr>
                <w:rFonts w:ascii="Calibri" w:hAnsi="Calibri"/>
                <w:color w:val="13233A"/>
                <w:sz w:val="15"/>
              </w:rPr>
              <w:t>services/faregas-productos.service.js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de negocio y consultas/transacciones de productos; es la capa central del caso de uso.</w:t>
            </w:r>
          </w:p>
        </w:tc>
      </w:tr>
      <w:tr>
        <w:trPr>
          <w:cantSplit/>
        </w:trPr>
        <w:tc>
          <w:tcPr>
            <w:tcW w:type="dxa" w:w="3550"/>
          </w:tcPr>
          <w:p>
            <w:pPr>
              <w:spacing w:after="0" w:line="252" w:lineRule="auto"/>
            </w:pPr>
            <w:r>
              <w:rPr>
                <w:rFonts w:ascii="Calibri" w:hAnsi="Calibri"/>
                <w:color w:val="13233A"/>
                <w:sz w:val="15"/>
              </w:rPr>
              <w:t>services/faregas-series.service.js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de negocio y consultas/transacciones de series; es la capa central del caso de uso.</w:t>
            </w:r>
          </w:p>
        </w:tc>
      </w:tr>
      <w:tr>
        <w:trPr>
          <w:cantSplit/>
        </w:trPr>
        <w:tc>
          <w:tcPr>
            <w:tcW w:type="dxa" w:w="3550"/>
          </w:tcPr>
          <w:p>
            <w:pPr>
              <w:spacing w:after="0" w:line="252" w:lineRule="auto"/>
            </w:pPr>
            <w:r>
              <w:rPr>
                <w:rFonts w:ascii="Calibri" w:hAnsi="Calibri"/>
                <w:color w:val="13233A"/>
                <w:sz w:val="15"/>
              </w:rPr>
              <w:t>services/faregas-tarifas-admin.service.js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de negocio y consultas/transacciones de tarifas-admin; es la capa central del caso de uso.</w:t>
            </w:r>
          </w:p>
        </w:tc>
      </w:tr>
      <w:tr>
        <w:trPr>
          <w:cantSplit/>
        </w:trPr>
        <w:tc>
          <w:tcPr>
            <w:tcW w:type="dxa" w:w="3550"/>
          </w:tcPr>
          <w:p>
            <w:pPr>
              <w:spacing w:after="0" w:line="252" w:lineRule="auto"/>
            </w:pPr>
            <w:r>
              <w:rPr>
                <w:rFonts w:ascii="Calibri" w:hAnsi="Calibri"/>
                <w:color w:val="13233A"/>
                <w:sz w:val="15"/>
              </w:rPr>
              <w:t>services/faregas-tarifas.service.js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de negocio y consultas/transacciones de tarifas; es la capa central del caso de uso.</w:t>
            </w:r>
          </w:p>
        </w:tc>
      </w:tr>
      <w:tr>
        <w:trPr>
          <w:cantSplit/>
        </w:trPr>
        <w:tc>
          <w:tcPr>
            <w:tcW w:type="dxa" w:w="3550"/>
          </w:tcPr>
          <w:p>
            <w:pPr>
              <w:spacing w:after="0" w:line="252" w:lineRule="auto"/>
            </w:pPr>
            <w:r>
              <w:rPr>
                <w:rFonts w:ascii="Calibri" w:hAnsi="Calibri"/>
                <w:color w:val="13233A"/>
                <w:sz w:val="15"/>
              </w:rPr>
              <w:t>services/faregas-usuarios.service.js</w:t>
            </w:r>
          </w:p>
        </w:tc>
        <w:tc>
          <w:tcPr>
            <w:tcW w:type="dxa" w:w="1200"/>
          </w:tcPr>
          <w:p>
            <w:pPr>
              <w:spacing w:after="0" w:line="252" w:lineRule="auto"/>
            </w:pPr>
            <w:r>
              <w:rPr>
                <w:rFonts w:ascii="Calibri" w:hAnsi="Calibri"/>
                <w:color w:val="13233A"/>
                <w:sz w:val="15"/>
              </w:rPr>
              <w:t>services</w:t>
            </w:r>
          </w:p>
        </w:tc>
        <w:tc>
          <w:tcPr>
            <w:tcW w:type="dxa" w:w="4610"/>
          </w:tcPr>
          <w:p>
            <w:pPr>
              <w:spacing w:after="0" w:line="252" w:lineRule="auto"/>
            </w:pPr>
            <w:r>
              <w:rPr>
                <w:rFonts w:ascii="Calibri" w:hAnsi="Calibri"/>
                <w:color w:val="13233A"/>
                <w:sz w:val="15"/>
              </w:rPr>
              <w:t>Reglas de negocio y consultas/transacciones de usuarios; es la capa central del caso de uso.</w:t>
            </w:r>
          </w:p>
        </w:tc>
      </w:tr>
      <w:tr>
        <w:trPr>
          <w:cantSplit/>
        </w:trPr>
        <w:tc>
          <w:tcPr>
            <w:tcW w:type="dxa" w:w="3550"/>
          </w:tcPr>
          <w:p>
            <w:pPr>
              <w:spacing w:after="0" w:line="252" w:lineRule="auto"/>
            </w:pPr>
            <w:r>
              <w:rPr>
                <w:rFonts w:ascii="Calibri" w:hAnsi="Calibri"/>
                <w:color w:val="13233A"/>
                <w:sz w:val="15"/>
              </w:rPr>
              <w:t>templates/conformidad.template.js</w:t>
            </w:r>
          </w:p>
        </w:tc>
        <w:tc>
          <w:tcPr>
            <w:tcW w:type="dxa" w:w="1200"/>
          </w:tcPr>
          <w:p>
            <w:pPr>
              <w:spacing w:after="0" w:line="252" w:lineRule="auto"/>
            </w:pPr>
            <w:r>
              <w:rPr>
                <w:rFonts w:ascii="Calibri" w:hAnsi="Calibri"/>
                <w:color w:val="13233A"/>
                <w:sz w:val="15"/>
              </w:rPr>
              <w:t>templates</w:t>
            </w:r>
          </w:p>
        </w:tc>
        <w:tc>
          <w:tcPr>
            <w:tcW w:type="dxa" w:w="4610"/>
          </w:tcPr>
          <w:p>
            <w:pPr>
              <w:spacing w:after="0" w:line="252" w:lineRule="auto"/>
            </w:pPr>
            <w:r>
              <w:rPr>
                <w:rFonts w:ascii="Calibri" w:hAnsi="Calibri"/>
                <w:color w:val="13233A"/>
                <w:sz w:val="15"/>
              </w:rPr>
              <w:t>Plantilla HTML del certificado CONFORMIDAD; define estructura y estilos de previsualización/emisión.</w:t>
            </w:r>
          </w:p>
        </w:tc>
      </w:tr>
      <w:tr>
        <w:trPr>
          <w:cantSplit/>
        </w:trPr>
        <w:tc>
          <w:tcPr>
            <w:tcW w:type="dxa" w:w="3550"/>
          </w:tcPr>
          <w:p>
            <w:pPr>
              <w:spacing w:after="0" w:line="252" w:lineRule="auto"/>
            </w:pPr>
            <w:r>
              <w:rPr>
                <w:rFonts w:ascii="Calibri" w:hAnsi="Calibri"/>
                <w:color w:val="13233A"/>
                <w:sz w:val="15"/>
              </w:rPr>
              <w:t>templates/glp-anual.template.js</w:t>
            </w:r>
          </w:p>
        </w:tc>
        <w:tc>
          <w:tcPr>
            <w:tcW w:type="dxa" w:w="1200"/>
          </w:tcPr>
          <w:p>
            <w:pPr>
              <w:spacing w:after="0" w:line="252" w:lineRule="auto"/>
            </w:pPr>
            <w:r>
              <w:rPr>
                <w:rFonts w:ascii="Calibri" w:hAnsi="Calibri"/>
                <w:color w:val="13233A"/>
                <w:sz w:val="15"/>
              </w:rPr>
              <w:t>templates</w:t>
            </w:r>
          </w:p>
        </w:tc>
        <w:tc>
          <w:tcPr>
            <w:tcW w:type="dxa" w:w="4610"/>
          </w:tcPr>
          <w:p>
            <w:pPr>
              <w:spacing w:after="0" w:line="252" w:lineRule="auto"/>
            </w:pPr>
            <w:r>
              <w:rPr>
                <w:rFonts w:ascii="Calibri" w:hAnsi="Calibri"/>
                <w:color w:val="13233A"/>
                <w:sz w:val="15"/>
              </w:rPr>
              <w:t>Plantilla HTML del certificado GLP ANUAL; define estructura y estilos de previsualización/emisión.</w:t>
            </w:r>
          </w:p>
        </w:tc>
      </w:tr>
      <w:tr>
        <w:trPr>
          <w:cantSplit/>
        </w:trPr>
        <w:tc>
          <w:tcPr>
            <w:tcW w:type="dxa" w:w="3550"/>
          </w:tcPr>
          <w:p>
            <w:pPr>
              <w:spacing w:after="0" w:line="252" w:lineRule="auto"/>
            </w:pPr>
            <w:r>
              <w:rPr>
                <w:rFonts w:ascii="Calibri" w:hAnsi="Calibri"/>
                <w:color w:val="13233A"/>
                <w:sz w:val="15"/>
              </w:rPr>
              <w:t>templates/glp-inicial.template.js</w:t>
            </w:r>
          </w:p>
        </w:tc>
        <w:tc>
          <w:tcPr>
            <w:tcW w:type="dxa" w:w="1200"/>
          </w:tcPr>
          <w:p>
            <w:pPr>
              <w:spacing w:after="0" w:line="252" w:lineRule="auto"/>
            </w:pPr>
            <w:r>
              <w:rPr>
                <w:rFonts w:ascii="Calibri" w:hAnsi="Calibri"/>
                <w:color w:val="13233A"/>
                <w:sz w:val="15"/>
              </w:rPr>
              <w:t>templates</w:t>
            </w:r>
          </w:p>
        </w:tc>
        <w:tc>
          <w:tcPr>
            <w:tcW w:type="dxa" w:w="4610"/>
          </w:tcPr>
          <w:p>
            <w:pPr>
              <w:spacing w:after="0" w:line="252" w:lineRule="auto"/>
            </w:pPr>
            <w:r>
              <w:rPr>
                <w:rFonts w:ascii="Calibri" w:hAnsi="Calibri"/>
                <w:color w:val="13233A"/>
                <w:sz w:val="15"/>
              </w:rPr>
              <w:t>Plantilla HTML del certificado GLP INICIAL; define estructura y estilos de previsualización/emisión.</w:t>
            </w:r>
          </w:p>
        </w:tc>
      </w:tr>
      <w:tr>
        <w:trPr>
          <w:cantSplit/>
        </w:trPr>
        <w:tc>
          <w:tcPr>
            <w:tcW w:type="dxa" w:w="3550"/>
          </w:tcPr>
          <w:p>
            <w:pPr>
              <w:spacing w:after="0" w:line="252" w:lineRule="auto"/>
            </w:pPr>
            <w:r>
              <w:rPr>
                <w:rFonts w:ascii="Calibri" w:hAnsi="Calibri"/>
                <w:color w:val="13233A"/>
                <w:sz w:val="15"/>
              </w:rPr>
              <w:t>templates/gnv-anual.template.js</w:t>
            </w:r>
          </w:p>
        </w:tc>
        <w:tc>
          <w:tcPr>
            <w:tcW w:type="dxa" w:w="1200"/>
          </w:tcPr>
          <w:p>
            <w:pPr>
              <w:spacing w:after="0" w:line="252" w:lineRule="auto"/>
            </w:pPr>
            <w:r>
              <w:rPr>
                <w:rFonts w:ascii="Calibri" w:hAnsi="Calibri"/>
                <w:color w:val="13233A"/>
                <w:sz w:val="15"/>
              </w:rPr>
              <w:t>templates</w:t>
            </w:r>
          </w:p>
        </w:tc>
        <w:tc>
          <w:tcPr>
            <w:tcW w:type="dxa" w:w="4610"/>
          </w:tcPr>
          <w:p>
            <w:pPr>
              <w:spacing w:after="0" w:line="252" w:lineRule="auto"/>
            </w:pPr>
            <w:r>
              <w:rPr>
                <w:rFonts w:ascii="Calibri" w:hAnsi="Calibri"/>
                <w:color w:val="13233A"/>
                <w:sz w:val="15"/>
              </w:rPr>
              <w:t>Plantilla HTML del certificado GNV ANUAL; define estructura y estilos de previsualización/emisión.</w:t>
            </w:r>
          </w:p>
        </w:tc>
      </w:tr>
      <w:tr>
        <w:trPr>
          <w:cantSplit/>
        </w:trPr>
        <w:tc>
          <w:tcPr>
            <w:tcW w:type="dxa" w:w="3550"/>
          </w:tcPr>
          <w:p>
            <w:pPr>
              <w:spacing w:after="0" w:line="252" w:lineRule="auto"/>
            </w:pPr>
            <w:r>
              <w:rPr>
                <w:rFonts w:ascii="Calibri" w:hAnsi="Calibri"/>
                <w:color w:val="13233A"/>
                <w:sz w:val="15"/>
              </w:rPr>
              <w:t>templates/gnv-inicial.template.js</w:t>
            </w:r>
          </w:p>
        </w:tc>
        <w:tc>
          <w:tcPr>
            <w:tcW w:type="dxa" w:w="1200"/>
          </w:tcPr>
          <w:p>
            <w:pPr>
              <w:spacing w:after="0" w:line="252" w:lineRule="auto"/>
            </w:pPr>
            <w:r>
              <w:rPr>
                <w:rFonts w:ascii="Calibri" w:hAnsi="Calibri"/>
                <w:color w:val="13233A"/>
                <w:sz w:val="15"/>
              </w:rPr>
              <w:t>templates</w:t>
            </w:r>
          </w:p>
        </w:tc>
        <w:tc>
          <w:tcPr>
            <w:tcW w:type="dxa" w:w="4610"/>
          </w:tcPr>
          <w:p>
            <w:pPr>
              <w:spacing w:after="0" w:line="252" w:lineRule="auto"/>
            </w:pPr>
            <w:r>
              <w:rPr>
                <w:rFonts w:ascii="Calibri" w:hAnsi="Calibri"/>
                <w:color w:val="13233A"/>
                <w:sz w:val="15"/>
              </w:rPr>
              <w:t>Plantilla HTML del certificado GNV INICIAL; define estructura y estilos de previsualización/emisión.</w:t>
            </w:r>
          </w:p>
        </w:tc>
      </w:tr>
      <w:tr>
        <w:trPr>
          <w:cantSplit/>
        </w:trPr>
        <w:tc>
          <w:tcPr>
            <w:tcW w:type="dxa" w:w="3550"/>
          </w:tcPr>
          <w:p>
            <w:pPr>
              <w:spacing w:after="0" w:line="252" w:lineRule="auto"/>
            </w:pPr>
            <w:r>
              <w:rPr>
                <w:rFonts w:ascii="Calibri" w:hAnsi="Calibri"/>
                <w:color w:val="13233A"/>
                <w:sz w:val="15"/>
              </w:rPr>
              <w:t>templates/template-utils.js</w:t>
            </w:r>
          </w:p>
        </w:tc>
        <w:tc>
          <w:tcPr>
            <w:tcW w:type="dxa" w:w="1200"/>
          </w:tcPr>
          <w:p>
            <w:pPr>
              <w:spacing w:after="0" w:line="252" w:lineRule="auto"/>
            </w:pPr>
            <w:r>
              <w:rPr>
                <w:rFonts w:ascii="Calibri" w:hAnsi="Calibri"/>
                <w:color w:val="13233A"/>
                <w:sz w:val="15"/>
              </w:rPr>
              <w:t>templates</w:t>
            </w:r>
          </w:p>
        </w:tc>
        <w:tc>
          <w:tcPr>
            <w:tcW w:type="dxa" w:w="4610"/>
          </w:tcPr>
          <w:p>
            <w:pPr>
              <w:spacing w:after="0" w:line="252" w:lineRule="auto"/>
            </w:pPr>
            <w:r>
              <w:rPr>
                <w:rFonts w:ascii="Calibri" w:hAnsi="Calibri"/>
                <w:color w:val="13233A"/>
                <w:sz w:val="15"/>
              </w:rPr>
              <w:t>Funciones comunes de formato, escape y composición HTML de certificados.</w:t>
            </w:r>
          </w:p>
        </w:tc>
      </w:tr>
      <w:tr>
        <w:trPr>
          <w:cantSplit/>
        </w:trPr>
        <w:tc>
          <w:tcPr>
            <w:tcW w:type="dxa" w:w="3550"/>
          </w:tcPr>
          <w:p>
            <w:pPr>
              <w:spacing w:after="0" w:line="252" w:lineRule="auto"/>
            </w:pPr>
            <w:r>
              <w:rPr>
                <w:rFonts w:ascii="Calibri" w:hAnsi="Calibri"/>
                <w:color w:val="13233A"/>
                <w:sz w:val="15"/>
              </w:rPr>
              <w:t>tests/faregas-auditoria.service.test.js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auditoria.service; protege reglas y contratos frente a regresiones.</w:t>
            </w:r>
          </w:p>
        </w:tc>
      </w:tr>
      <w:tr>
        <w:trPr>
          <w:cantSplit/>
        </w:trPr>
        <w:tc>
          <w:tcPr>
            <w:tcW w:type="dxa" w:w="3550"/>
          </w:tcPr>
          <w:p>
            <w:pPr>
              <w:spacing w:after="0" w:line="252" w:lineRule="auto"/>
            </w:pPr>
            <w:r>
              <w:rPr>
                <w:rFonts w:ascii="Calibri" w:hAnsi="Calibri"/>
                <w:color w:val="13233A"/>
                <w:sz w:val="15"/>
              </w:rPr>
              <w:t>tests/faregas-borradores-persistentes.test.js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borradores persistentes; protege reglas y contratos frente a regresiones.</w:t>
            </w:r>
          </w:p>
        </w:tc>
      </w:tr>
      <w:tr>
        <w:trPr>
          <w:cantSplit/>
        </w:trPr>
        <w:tc>
          <w:tcPr>
            <w:tcW w:type="dxa" w:w="3550"/>
          </w:tcPr>
          <w:p>
            <w:pPr>
              <w:spacing w:after="0" w:line="252" w:lineRule="auto"/>
            </w:pPr>
            <w:r>
              <w:rPr>
                <w:rFonts w:ascii="Calibri" w:hAnsi="Calibri"/>
                <w:color w:val="13233A"/>
                <w:sz w:val="15"/>
              </w:rPr>
              <w:t>tests/faregas-catalogo.integration.test.js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catalogo.integration; protege reglas y contratos frente a regresiones.</w:t>
            </w:r>
          </w:p>
        </w:tc>
      </w:tr>
      <w:tr>
        <w:trPr>
          <w:cantSplit/>
        </w:trPr>
        <w:tc>
          <w:tcPr>
            <w:tcW w:type="dxa" w:w="3550"/>
          </w:tcPr>
          <w:p>
            <w:pPr>
              <w:spacing w:after="0" w:line="252" w:lineRule="auto"/>
            </w:pPr>
            <w:r>
              <w:rPr>
                <w:rFonts w:ascii="Calibri" w:hAnsi="Calibri"/>
                <w:color w:val="13233A"/>
                <w:sz w:val="15"/>
              </w:rPr>
              <w:t>tests/faregas-catalogo.test.js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catalogo; protege reglas y contratos frente a regresiones.</w:t>
            </w:r>
          </w:p>
        </w:tc>
      </w:tr>
      <w:tr>
        <w:trPr>
          <w:cantSplit/>
        </w:trPr>
        <w:tc>
          <w:tcPr>
            <w:tcW w:type="dxa" w:w="3550"/>
          </w:tcPr>
          <w:p>
            <w:pPr>
              <w:spacing w:after="0" w:line="252" w:lineRule="auto"/>
            </w:pPr>
            <w:r>
              <w:rPr>
                <w:rFonts w:ascii="Calibri" w:hAnsi="Calibri"/>
                <w:color w:val="13233A"/>
                <w:sz w:val="15"/>
              </w:rPr>
              <w:t>tests/faregas-certificado-catalogo.test.js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certificado catalogo; protege reglas y contratos frente a regresiones.</w:t>
            </w:r>
          </w:p>
        </w:tc>
      </w:tr>
      <w:tr>
        <w:trPr>
          <w:cantSplit/>
        </w:trPr>
        <w:tc>
          <w:tcPr>
            <w:tcW w:type="dxa" w:w="3550"/>
          </w:tcPr>
          <w:p>
            <w:pPr>
              <w:spacing w:after="0" w:line="252" w:lineRule="auto"/>
            </w:pPr>
            <w:r>
              <w:rPr>
                <w:rFonts w:ascii="Calibri" w:hAnsi="Calibri"/>
                <w:color w:val="13233A"/>
                <w:sz w:val="15"/>
              </w:rPr>
              <w:t>tests/faregas-config-flujo.test.js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config flujo; protege reglas y contratos frente a regresiones.</w:t>
            </w:r>
          </w:p>
        </w:tc>
      </w:tr>
      <w:tr>
        <w:trPr>
          <w:cantSplit/>
        </w:trPr>
        <w:tc>
          <w:tcPr>
            <w:tcW w:type="dxa" w:w="3550"/>
          </w:tcPr>
          <w:p>
            <w:pPr>
              <w:spacing w:after="0" w:line="252" w:lineRule="auto"/>
            </w:pPr>
            <w:r>
              <w:rPr>
                <w:rFonts w:ascii="Calibri" w:hAnsi="Calibri"/>
                <w:color w:val="13233A"/>
                <w:sz w:val="15"/>
              </w:rPr>
              <w:t>tests/faregas-correlativos-modalidad.test.js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correlativos modalidad; protege reglas y contratos frente a regresiones.</w:t>
            </w:r>
          </w:p>
        </w:tc>
      </w:tr>
      <w:tr>
        <w:trPr>
          <w:cantSplit/>
        </w:trPr>
        <w:tc>
          <w:tcPr>
            <w:tcW w:type="dxa" w:w="3550"/>
          </w:tcPr>
          <w:p>
            <w:pPr>
              <w:spacing w:after="0" w:line="252" w:lineRule="auto"/>
            </w:pPr>
            <w:r>
              <w:rPr>
                <w:rFonts w:ascii="Calibri" w:hAnsi="Calibri"/>
                <w:color w:val="13233A"/>
                <w:sz w:val="15"/>
              </w:rPr>
              <w:t>tests/faregas-descuentos-auditoria.controller.test.js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descuentos auditoria.controller; protege reglas y contratos frente a regresiones.</w:t>
            </w:r>
          </w:p>
        </w:tc>
      </w:tr>
      <w:tr>
        <w:trPr>
          <w:cantSplit/>
        </w:trPr>
        <w:tc>
          <w:tcPr>
            <w:tcW w:type="dxa" w:w="3550"/>
          </w:tcPr>
          <w:p>
            <w:pPr>
              <w:spacing w:after="0" w:line="252" w:lineRule="auto"/>
            </w:pPr>
            <w:r>
              <w:rPr>
                <w:rFonts w:ascii="Calibri" w:hAnsi="Calibri"/>
                <w:color w:val="13233A"/>
                <w:sz w:val="15"/>
              </w:rPr>
              <w:t>tests/faregas-empresas.controller.test.js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empresas.controller; protege reglas y contratos frente a regresiones.</w:t>
            </w:r>
          </w:p>
        </w:tc>
      </w:tr>
      <w:tr>
        <w:trPr>
          <w:cantSplit/>
        </w:trPr>
        <w:tc>
          <w:tcPr>
            <w:tcW w:type="dxa" w:w="3550"/>
          </w:tcPr>
          <w:p>
            <w:pPr>
              <w:spacing w:after="0" w:line="252" w:lineRule="auto"/>
            </w:pPr>
            <w:r>
              <w:rPr>
                <w:rFonts w:ascii="Calibri" w:hAnsi="Calibri"/>
                <w:color w:val="13233A"/>
                <w:sz w:val="15"/>
              </w:rPr>
              <w:t>tests/faregas-facturacion.test.js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facturacion; protege reglas y contratos frente a regresiones.</w:t>
            </w:r>
          </w:p>
        </w:tc>
      </w:tr>
      <w:tr>
        <w:trPr>
          <w:cantSplit/>
        </w:trPr>
        <w:tc>
          <w:tcPr>
            <w:tcW w:type="dxa" w:w="3550"/>
          </w:tcPr>
          <w:p>
            <w:pPr>
              <w:spacing w:after="0" w:line="252" w:lineRule="auto"/>
            </w:pPr>
            <w:r>
              <w:rPr>
                <w:rFonts w:ascii="Calibri" w:hAnsi="Calibri"/>
                <w:color w:val="13233A"/>
                <w:sz w:val="15"/>
              </w:rPr>
              <w:t>tests/faregas-flujo-guards.test.js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flujo guards; protege reglas y contratos frente a regresiones.</w:t>
            </w:r>
          </w:p>
        </w:tc>
      </w:tr>
      <w:tr>
        <w:trPr>
          <w:cantSplit/>
        </w:trPr>
        <w:tc>
          <w:tcPr>
            <w:tcW w:type="dxa" w:w="3550"/>
          </w:tcPr>
          <w:p>
            <w:pPr>
              <w:spacing w:after="0" w:line="252" w:lineRule="auto"/>
            </w:pPr>
            <w:r>
              <w:rPr>
                <w:rFonts w:ascii="Calibri" w:hAnsi="Calibri"/>
                <w:color w:val="13233A"/>
                <w:sz w:val="15"/>
              </w:rPr>
              <w:t>tests/faregas-pagos.service.test.js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pagos.service; protege reglas y contratos frente a regresiones.</w:t>
            </w:r>
          </w:p>
        </w:tc>
      </w:tr>
      <w:tr>
        <w:trPr>
          <w:cantSplit/>
        </w:trPr>
        <w:tc>
          <w:tcPr>
            <w:tcW w:type="dxa" w:w="3550"/>
          </w:tcPr>
          <w:p>
            <w:pPr>
              <w:spacing w:after="0" w:line="252" w:lineRule="auto"/>
            </w:pPr>
            <w:r>
              <w:rPr>
                <w:rFonts w:ascii="Calibri" w:hAnsi="Calibri"/>
                <w:color w:val="13233A"/>
                <w:sz w:val="15"/>
              </w:rPr>
              <w:t>tests/faregas-series.controller.test.js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series.controller; protege reglas y contratos frente a regresiones.</w:t>
            </w:r>
          </w:p>
        </w:tc>
      </w:tr>
      <w:tr>
        <w:trPr>
          <w:cantSplit/>
        </w:trPr>
        <w:tc>
          <w:tcPr>
            <w:tcW w:type="dxa" w:w="3550"/>
          </w:tcPr>
          <w:p>
            <w:pPr>
              <w:spacing w:after="0" w:line="252" w:lineRule="auto"/>
            </w:pPr>
            <w:r>
              <w:rPr>
                <w:rFonts w:ascii="Calibri" w:hAnsi="Calibri"/>
                <w:color w:val="13233A"/>
                <w:sz w:val="15"/>
              </w:rPr>
              <w:t>tests/faregas-tarifas-admin.controller.test.js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tarifas admin.controller; protege reglas y contratos frente a regresiones.</w:t>
            </w:r>
          </w:p>
        </w:tc>
      </w:tr>
      <w:tr>
        <w:trPr>
          <w:cantSplit/>
        </w:trPr>
        <w:tc>
          <w:tcPr>
            <w:tcW w:type="dxa" w:w="3550"/>
          </w:tcPr>
          <w:p>
            <w:pPr>
              <w:spacing w:after="0" w:line="252" w:lineRule="auto"/>
            </w:pPr>
            <w:r>
              <w:rPr>
                <w:rFonts w:ascii="Calibri" w:hAnsi="Calibri"/>
                <w:color w:val="13233A"/>
                <w:sz w:val="15"/>
              </w:rPr>
              <w:t>tests/faregas-vehiculo.mapper.test.js</w:t>
            </w:r>
          </w:p>
        </w:tc>
        <w:tc>
          <w:tcPr>
            <w:tcW w:type="dxa" w:w="1200"/>
          </w:tcPr>
          <w:p>
            <w:pPr>
              <w:spacing w:after="0" w:line="252" w:lineRule="auto"/>
            </w:pPr>
            <w:r>
              <w:rPr>
                <w:rFonts w:ascii="Calibri" w:hAnsi="Calibri"/>
                <w:color w:val="13233A"/>
                <w:sz w:val="15"/>
              </w:rPr>
              <w:t>tests</w:t>
            </w:r>
          </w:p>
        </w:tc>
        <w:tc>
          <w:tcPr>
            <w:tcW w:type="dxa" w:w="4610"/>
          </w:tcPr>
          <w:p>
            <w:pPr>
              <w:spacing w:after="0" w:line="252" w:lineRule="auto"/>
            </w:pPr>
            <w:r>
              <w:rPr>
                <w:rFonts w:ascii="Calibri" w:hAnsi="Calibri"/>
                <w:color w:val="13233A"/>
                <w:sz w:val="15"/>
              </w:rPr>
              <w:t>Prueba automatizada de vehiculo.mapper; protege reglas y contratos frente a regresiones.</w:t>
            </w:r>
          </w:p>
        </w:tc>
      </w:tr>
    </w:tbl>
    <w:p>
      <w:pPr>
        <w:spacing w:after="0"/>
      </w:pPr>
    </w:p>
    <w:p>
      <w:pPr>
        <w:pStyle w:val="Heading1"/>
      </w:pPr>
      <w:r>
        <w:t>4. Recorridos funcionales completos</w:t>
      </w:r>
    </w:p>
    <w:p>
      <w:pPr>
        <w:pStyle w:val="Heading2"/>
      </w:pPr>
      <w:r>
        <w:t>4.1 Crear y continuar un certificado</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800"/>
        <w:gridCol w:w="3050"/>
        <w:gridCol w:w="5510"/>
      </w:tblGrid>
      <w:tr>
        <w:trPr>
          <w:tblHeader w:val="true"/>
        </w:trPr>
        <w:tc>
          <w:tcPr>
            <w:tcW w:type="dxa" w:w="800"/>
            <w:tcMar>
              <w:top w:w="80" w:type="dxa"/>
              <w:start w:w="120" w:type="dxa"/>
              <w:bottom w:w="80" w:type="dxa"/>
              <w:end w:w="120" w:type="dxa"/>
            </w:tcMar>
            <w:vAlign w:val="center"/>
            <w:shd w:fill="082B66"/>
          </w:tcPr>
          <w:p>
            <w:pPr>
              <w:spacing w:after="0"/>
            </w:pPr>
            <w:r>
              <w:rPr>
                <w:rFonts w:ascii="Calibri" w:hAnsi="Calibri"/>
                <w:b/>
                <w:color w:val="FFFFFF"/>
                <w:sz w:val="16"/>
              </w:rPr>
              <w:t>PASO</w:t>
            </w:r>
          </w:p>
        </w:tc>
        <w:tc>
          <w:tcPr>
            <w:tcW w:type="dxa" w:w="3050"/>
            <w:tcMar>
              <w:top w:w="80" w:type="dxa"/>
              <w:start w:w="120" w:type="dxa"/>
              <w:bottom w:w="80" w:type="dxa"/>
              <w:end w:w="120" w:type="dxa"/>
            </w:tcMar>
            <w:vAlign w:val="center"/>
            <w:shd w:fill="082B66"/>
          </w:tcPr>
          <w:p>
            <w:pPr>
              <w:spacing w:after="0"/>
            </w:pPr>
            <w:r>
              <w:rPr>
                <w:rFonts w:ascii="Calibri" w:hAnsi="Calibri"/>
                <w:b/>
                <w:color w:val="FFFFFF"/>
                <w:sz w:val="16"/>
              </w:rPr>
              <w:t>ARCHIVO / CAPA</w:t>
            </w:r>
          </w:p>
        </w:tc>
        <w:tc>
          <w:tcPr>
            <w:tcW w:type="dxa" w:w="5510"/>
            <w:tcMar>
              <w:top w:w="80" w:type="dxa"/>
              <w:start w:w="120" w:type="dxa"/>
              <w:bottom w:w="80" w:type="dxa"/>
              <w:end w:w="120" w:type="dxa"/>
            </w:tcMar>
            <w:vAlign w:val="center"/>
            <w:shd w:fill="082B66"/>
          </w:tcPr>
          <w:p>
            <w:pPr>
              <w:spacing w:after="0"/>
            </w:pPr>
            <w:r>
              <w:rPr>
                <w:rFonts w:ascii="Calibri" w:hAnsi="Calibri"/>
                <w:b/>
                <w:color w:val="FFFFFF"/>
                <w:sz w:val="16"/>
              </w:rPr>
              <w:t>QUÉ OCURRE</w:t>
            </w:r>
          </w:p>
        </w:tc>
      </w:tr>
      <w:tr>
        <w:trPr>
          <w:cantSplit/>
        </w:trPr>
        <w:tc>
          <w:tcPr>
            <w:tcW w:type="dxa" w:w="800"/>
          </w:tcPr>
          <w:p>
            <w:pPr>
              <w:spacing w:after="0" w:line="252" w:lineRule="auto"/>
            </w:pPr>
            <w:r>
              <w:rPr>
                <w:rFonts w:ascii="Calibri" w:hAnsi="Calibri"/>
                <w:color w:val="13233A"/>
                <w:sz w:val="17"/>
              </w:rPr>
              <w:t>1</w:t>
            </w:r>
          </w:p>
        </w:tc>
        <w:tc>
          <w:tcPr>
            <w:tcW w:type="dxa" w:w="3050"/>
          </w:tcPr>
          <w:p>
            <w:pPr>
              <w:spacing w:after="0" w:line="252" w:lineRule="auto"/>
            </w:pPr>
            <w:r>
              <w:rPr>
                <w:rFonts w:ascii="Calibri" w:hAnsi="Calibri"/>
                <w:color w:val="13233A"/>
                <w:sz w:val="17"/>
              </w:rPr>
              <w:t>NuevoCertificadoView / CajaStep</w:t>
            </w:r>
          </w:p>
        </w:tc>
        <w:tc>
          <w:tcPr>
            <w:tcW w:type="dxa" w:w="5510"/>
          </w:tcPr>
          <w:p>
            <w:pPr>
              <w:spacing w:after="0" w:line="252" w:lineRule="auto"/>
            </w:pPr>
            <w:r>
              <w:rPr>
                <w:rFonts w:ascii="Calibri" w:hAnsi="Calibri"/>
                <w:color w:val="13233A"/>
                <w:sz w:val="17"/>
              </w:rPr>
              <w:t>Captura servicio, placa, categoría y consulta.</w:t>
            </w:r>
          </w:p>
        </w:tc>
      </w:tr>
      <w:tr>
        <w:trPr>
          <w:cantSplit/>
        </w:trPr>
        <w:tc>
          <w:tcPr>
            <w:tcW w:type="dxa" w:w="800"/>
          </w:tcPr>
          <w:p>
            <w:pPr>
              <w:spacing w:after="0" w:line="252" w:lineRule="auto"/>
            </w:pPr>
            <w:r>
              <w:rPr>
                <w:rFonts w:ascii="Calibri" w:hAnsi="Calibri"/>
                <w:color w:val="13233A"/>
                <w:sz w:val="17"/>
              </w:rPr>
              <w:t>2</w:t>
            </w:r>
          </w:p>
        </w:tc>
        <w:tc>
          <w:tcPr>
            <w:tcW w:type="dxa" w:w="3050"/>
          </w:tcPr>
          <w:p>
            <w:pPr>
              <w:spacing w:after="0" w:line="252" w:lineRule="auto"/>
            </w:pPr>
            <w:r>
              <w:rPr>
                <w:rFonts w:ascii="Calibri" w:hAnsi="Calibri"/>
                <w:color w:val="13233A"/>
                <w:sz w:val="17"/>
              </w:rPr>
              <w:t>faregas-certificados.api.ts</w:t>
            </w:r>
          </w:p>
        </w:tc>
        <w:tc>
          <w:tcPr>
            <w:tcW w:type="dxa" w:w="5510"/>
          </w:tcPr>
          <w:p>
            <w:pPr>
              <w:spacing w:after="0" w:line="252" w:lineRule="auto"/>
            </w:pPr>
            <w:r>
              <w:rPr>
                <w:rFonts w:ascii="Calibri" w:hAnsi="Calibri"/>
                <w:color w:val="13233A"/>
                <w:sz w:val="17"/>
              </w:rPr>
              <w:t>Envía creación/actualización del borrador.</w:t>
            </w:r>
          </w:p>
        </w:tc>
      </w:tr>
      <w:tr>
        <w:trPr>
          <w:cantSplit/>
        </w:trPr>
        <w:tc>
          <w:tcPr>
            <w:tcW w:type="dxa" w:w="800"/>
          </w:tcPr>
          <w:p>
            <w:pPr>
              <w:spacing w:after="0" w:line="252" w:lineRule="auto"/>
            </w:pPr>
            <w:r>
              <w:rPr>
                <w:rFonts w:ascii="Calibri" w:hAnsi="Calibri"/>
                <w:color w:val="13233A"/>
                <w:sz w:val="17"/>
              </w:rPr>
              <w:t>3</w:t>
            </w:r>
          </w:p>
        </w:tc>
        <w:tc>
          <w:tcPr>
            <w:tcW w:type="dxa" w:w="3050"/>
          </w:tcPr>
          <w:p>
            <w:pPr>
              <w:spacing w:after="0" w:line="252" w:lineRule="auto"/>
            </w:pPr>
            <w:r>
              <w:rPr>
                <w:rFonts w:ascii="Calibri" w:hAnsi="Calibri"/>
                <w:color w:val="13233A"/>
                <w:sz w:val="17"/>
              </w:rPr>
              <w:t>faregas-certificados.routes/controller</w:t>
            </w:r>
          </w:p>
        </w:tc>
        <w:tc>
          <w:tcPr>
            <w:tcW w:type="dxa" w:w="5510"/>
          </w:tcPr>
          <w:p>
            <w:pPr>
              <w:spacing w:after="0" w:line="252" w:lineRule="auto"/>
            </w:pPr>
            <w:r>
              <w:rPr>
                <w:rFonts w:ascii="Calibri" w:hAnsi="Calibri"/>
                <w:color w:val="13233A"/>
                <w:sz w:val="17"/>
              </w:rPr>
              <w:t>Autentica, valida identificador y delega.</w:t>
            </w:r>
          </w:p>
        </w:tc>
      </w:tr>
      <w:tr>
        <w:trPr>
          <w:cantSplit/>
        </w:trPr>
        <w:tc>
          <w:tcPr>
            <w:tcW w:type="dxa" w:w="800"/>
          </w:tcPr>
          <w:p>
            <w:pPr>
              <w:spacing w:after="0" w:line="252" w:lineRule="auto"/>
            </w:pPr>
            <w:r>
              <w:rPr>
                <w:rFonts w:ascii="Calibri" w:hAnsi="Calibri"/>
                <w:color w:val="13233A"/>
                <w:sz w:val="17"/>
              </w:rPr>
              <w:t>4</w:t>
            </w:r>
          </w:p>
        </w:tc>
        <w:tc>
          <w:tcPr>
            <w:tcW w:type="dxa" w:w="3050"/>
          </w:tcPr>
          <w:p>
            <w:pPr>
              <w:spacing w:after="0" w:line="252" w:lineRule="auto"/>
            </w:pPr>
            <w:r>
              <w:rPr>
                <w:rFonts w:ascii="Calibri" w:hAnsi="Calibri"/>
                <w:color w:val="13233A"/>
                <w:sz w:val="17"/>
              </w:rPr>
              <w:t>faregas-certificados.service.js</w:t>
            </w:r>
          </w:p>
        </w:tc>
        <w:tc>
          <w:tcPr>
            <w:tcW w:type="dxa" w:w="5510"/>
          </w:tcPr>
          <w:p>
            <w:pPr>
              <w:spacing w:after="0" w:line="252" w:lineRule="auto"/>
            </w:pPr>
            <w:r>
              <w:rPr>
                <w:rFonts w:ascii="Calibri" w:hAnsi="Calibri"/>
                <w:color w:val="13233A"/>
                <w:sz w:val="17"/>
              </w:rPr>
              <w:t>Inserta/actualiza fg_certificado y tablas de detalle en transacción.</w:t>
            </w:r>
          </w:p>
        </w:tc>
      </w:tr>
      <w:tr>
        <w:trPr>
          <w:cantSplit/>
        </w:trPr>
        <w:tc>
          <w:tcPr>
            <w:tcW w:type="dxa" w:w="800"/>
          </w:tcPr>
          <w:p>
            <w:pPr>
              <w:spacing w:after="0" w:line="252" w:lineRule="auto"/>
            </w:pPr>
            <w:r>
              <w:rPr>
                <w:rFonts w:ascii="Calibri" w:hAnsi="Calibri"/>
                <w:color w:val="13233A"/>
                <w:sz w:val="17"/>
              </w:rPr>
              <w:t>5</w:t>
            </w:r>
          </w:p>
        </w:tc>
        <w:tc>
          <w:tcPr>
            <w:tcW w:type="dxa" w:w="3050"/>
          </w:tcPr>
          <w:p>
            <w:pPr>
              <w:spacing w:after="0" w:line="252" w:lineRule="auto"/>
            </w:pPr>
            <w:r>
              <w:rPr>
                <w:rFonts w:ascii="Calibri" w:hAnsi="Calibri"/>
                <w:color w:val="13233A"/>
                <w:sz w:val="17"/>
              </w:rPr>
              <w:t>InicioView.tsx</w:t>
            </w:r>
          </w:p>
        </w:tc>
        <w:tc>
          <w:tcPr>
            <w:tcW w:type="dxa" w:w="5510"/>
          </w:tcPr>
          <w:p>
            <w:pPr>
              <w:spacing w:after="0" w:line="252" w:lineRule="auto"/>
            </w:pPr>
            <w:r>
              <w:rPr>
                <w:rFonts w:ascii="Calibri" w:hAnsi="Calibri"/>
                <w:color w:val="13233A"/>
                <w:sz w:val="17"/>
              </w:rPr>
              <w:t>Lista el borrador persistido y permite continuar por id.</w:t>
            </w:r>
          </w:p>
        </w:tc>
      </w:tr>
    </w:tbl>
    <w:p>
      <w:pPr>
        <w:spacing w:after="0"/>
      </w:pPr>
    </w:p>
    <w:p>
      <w:pPr>
        <w:pStyle w:val="Heading2"/>
      </w:pPr>
      <w:r>
        <w:t>4.2 Autocompletar vehículo desde FARENET</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800"/>
        <w:gridCol w:w="3050"/>
        <w:gridCol w:w="5510"/>
      </w:tblGrid>
      <w:tr>
        <w:trPr>
          <w:tblHeader w:val="true"/>
        </w:trPr>
        <w:tc>
          <w:tcPr>
            <w:tcW w:type="dxa" w:w="800"/>
            <w:tcMar>
              <w:top w:w="80" w:type="dxa"/>
              <w:start w:w="120" w:type="dxa"/>
              <w:bottom w:w="80" w:type="dxa"/>
              <w:end w:w="120" w:type="dxa"/>
            </w:tcMar>
            <w:vAlign w:val="center"/>
            <w:shd w:fill="082B66"/>
          </w:tcPr>
          <w:p>
            <w:pPr>
              <w:spacing w:after="0"/>
            </w:pPr>
            <w:r>
              <w:rPr>
                <w:rFonts w:ascii="Calibri" w:hAnsi="Calibri"/>
                <w:b/>
                <w:color w:val="FFFFFF"/>
                <w:sz w:val="16"/>
              </w:rPr>
              <w:t>PASO</w:t>
            </w:r>
          </w:p>
        </w:tc>
        <w:tc>
          <w:tcPr>
            <w:tcW w:type="dxa" w:w="3050"/>
            <w:tcMar>
              <w:top w:w="80" w:type="dxa"/>
              <w:start w:w="120" w:type="dxa"/>
              <w:bottom w:w="80" w:type="dxa"/>
              <w:end w:w="120" w:type="dxa"/>
            </w:tcMar>
            <w:vAlign w:val="center"/>
            <w:shd w:fill="082B66"/>
          </w:tcPr>
          <w:p>
            <w:pPr>
              <w:spacing w:after="0"/>
            </w:pPr>
            <w:r>
              <w:rPr>
                <w:rFonts w:ascii="Calibri" w:hAnsi="Calibri"/>
                <w:b/>
                <w:color w:val="FFFFFF"/>
                <w:sz w:val="16"/>
              </w:rPr>
              <w:t>ARCHIVO / CAPA</w:t>
            </w:r>
          </w:p>
        </w:tc>
        <w:tc>
          <w:tcPr>
            <w:tcW w:type="dxa" w:w="5510"/>
            <w:tcMar>
              <w:top w:w="80" w:type="dxa"/>
              <w:start w:w="120" w:type="dxa"/>
              <w:bottom w:w="80" w:type="dxa"/>
              <w:end w:w="120" w:type="dxa"/>
            </w:tcMar>
            <w:vAlign w:val="center"/>
            <w:shd w:fill="082B66"/>
          </w:tcPr>
          <w:p>
            <w:pPr>
              <w:spacing w:after="0"/>
            </w:pPr>
            <w:r>
              <w:rPr>
                <w:rFonts w:ascii="Calibri" w:hAnsi="Calibri"/>
                <w:b/>
                <w:color w:val="FFFFFF"/>
                <w:sz w:val="16"/>
              </w:rPr>
              <w:t>QUÉ OCURRE</w:t>
            </w:r>
          </w:p>
        </w:tc>
      </w:tr>
      <w:tr>
        <w:trPr>
          <w:cantSplit/>
        </w:trPr>
        <w:tc>
          <w:tcPr>
            <w:tcW w:type="dxa" w:w="800"/>
          </w:tcPr>
          <w:p>
            <w:pPr>
              <w:spacing w:after="0" w:line="252" w:lineRule="auto"/>
            </w:pPr>
            <w:r>
              <w:rPr>
                <w:rFonts w:ascii="Calibri" w:hAnsi="Calibri"/>
                <w:color w:val="13233A"/>
                <w:sz w:val="17"/>
              </w:rPr>
              <w:t>1</w:t>
            </w:r>
          </w:p>
        </w:tc>
        <w:tc>
          <w:tcPr>
            <w:tcW w:type="dxa" w:w="3050"/>
          </w:tcPr>
          <w:p>
            <w:pPr>
              <w:spacing w:after="0" w:line="252" w:lineRule="auto"/>
            </w:pPr>
            <w:r>
              <w:rPr>
                <w:rFonts w:ascii="Calibri" w:hAnsi="Calibri"/>
                <w:color w:val="13233A"/>
                <w:sz w:val="17"/>
              </w:rPr>
              <w:t>VehiculoStep</w:t>
            </w:r>
          </w:p>
        </w:tc>
        <w:tc>
          <w:tcPr>
            <w:tcW w:type="dxa" w:w="5510"/>
          </w:tcPr>
          <w:p>
            <w:pPr>
              <w:spacing w:after="0" w:line="252" w:lineRule="auto"/>
            </w:pPr>
            <w:r>
              <w:rPr>
                <w:rFonts w:ascii="Calibri" w:hAnsi="Calibri"/>
                <w:color w:val="13233A"/>
                <w:sz w:val="17"/>
              </w:rPr>
              <w:t>Solicita datos por placa.</w:t>
            </w:r>
          </w:p>
        </w:tc>
      </w:tr>
      <w:tr>
        <w:trPr>
          <w:cantSplit/>
        </w:trPr>
        <w:tc>
          <w:tcPr>
            <w:tcW w:type="dxa" w:w="800"/>
          </w:tcPr>
          <w:p>
            <w:pPr>
              <w:spacing w:after="0" w:line="252" w:lineRule="auto"/>
            </w:pPr>
            <w:r>
              <w:rPr>
                <w:rFonts w:ascii="Calibri" w:hAnsi="Calibri"/>
                <w:color w:val="13233A"/>
                <w:sz w:val="17"/>
              </w:rPr>
              <w:t>2</w:t>
            </w:r>
          </w:p>
        </w:tc>
        <w:tc>
          <w:tcPr>
            <w:tcW w:type="dxa" w:w="3050"/>
          </w:tcPr>
          <w:p>
            <w:pPr>
              <w:spacing w:after="0" w:line="252" w:lineRule="auto"/>
            </w:pPr>
            <w:r>
              <w:rPr>
                <w:rFonts w:ascii="Calibri" w:hAnsi="Calibri"/>
                <w:color w:val="13233A"/>
                <w:sz w:val="17"/>
              </w:rPr>
              <w:t>faregas-clientes.api.ts</w:t>
            </w:r>
          </w:p>
        </w:tc>
        <w:tc>
          <w:tcPr>
            <w:tcW w:type="dxa" w:w="5510"/>
          </w:tcPr>
          <w:p>
            <w:pPr>
              <w:spacing w:after="0" w:line="252" w:lineRule="auto"/>
            </w:pPr>
            <w:r>
              <w:rPr>
                <w:rFonts w:ascii="Calibri" w:hAnsi="Calibri"/>
                <w:color w:val="13233A"/>
                <w:sz w:val="17"/>
              </w:rPr>
              <w:t>Llama /clientes/vehiculo/:placa.</w:t>
            </w:r>
          </w:p>
        </w:tc>
      </w:tr>
      <w:tr>
        <w:trPr>
          <w:cantSplit/>
        </w:trPr>
        <w:tc>
          <w:tcPr>
            <w:tcW w:type="dxa" w:w="800"/>
          </w:tcPr>
          <w:p>
            <w:pPr>
              <w:spacing w:after="0" w:line="252" w:lineRule="auto"/>
            </w:pPr>
            <w:r>
              <w:rPr>
                <w:rFonts w:ascii="Calibri" w:hAnsi="Calibri"/>
                <w:color w:val="13233A"/>
                <w:sz w:val="17"/>
              </w:rPr>
              <w:t>3</w:t>
            </w:r>
          </w:p>
        </w:tc>
        <w:tc>
          <w:tcPr>
            <w:tcW w:type="dxa" w:w="3050"/>
          </w:tcPr>
          <w:p>
            <w:pPr>
              <w:spacing w:after="0" w:line="252" w:lineRule="auto"/>
            </w:pPr>
            <w:r>
              <w:rPr>
                <w:rFonts w:ascii="Calibri" w:hAnsi="Calibri"/>
                <w:color w:val="13233A"/>
                <w:sz w:val="17"/>
              </w:rPr>
              <w:t>clientes controller/service</w:t>
            </w:r>
          </w:p>
        </w:tc>
        <w:tc>
          <w:tcPr>
            <w:tcW w:type="dxa" w:w="5510"/>
          </w:tcPr>
          <w:p>
            <w:pPr>
              <w:spacing w:after="0" w:line="252" w:lineRule="auto"/>
            </w:pPr>
            <w:r>
              <w:rPr>
                <w:rFonts w:ascii="Calibri" w:hAnsi="Calibri"/>
                <w:color w:val="13233A"/>
                <w:sz w:val="17"/>
              </w:rPr>
              <w:t>Busca primero mediante la frontera autorizada.</w:t>
            </w:r>
          </w:p>
        </w:tc>
      </w:tr>
      <w:tr>
        <w:trPr>
          <w:cantSplit/>
        </w:trPr>
        <w:tc>
          <w:tcPr>
            <w:tcW w:type="dxa" w:w="800"/>
          </w:tcPr>
          <w:p>
            <w:pPr>
              <w:spacing w:after="0" w:line="252" w:lineRule="auto"/>
            </w:pPr>
            <w:r>
              <w:rPr>
                <w:rFonts w:ascii="Calibri" w:hAnsi="Calibri"/>
                <w:color w:val="13233A"/>
                <w:sz w:val="17"/>
              </w:rPr>
              <w:t>4</w:t>
            </w:r>
          </w:p>
        </w:tc>
        <w:tc>
          <w:tcPr>
            <w:tcW w:type="dxa" w:w="3050"/>
          </w:tcPr>
          <w:p>
            <w:pPr>
              <w:spacing w:after="0" w:line="252" w:lineRule="auto"/>
            </w:pPr>
            <w:r>
              <w:rPr>
                <w:rFonts w:ascii="Calibri" w:hAnsi="Calibri"/>
                <w:color w:val="13233A"/>
                <w:sz w:val="17"/>
              </w:rPr>
              <w:t>farenet-read.adapter.js</w:t>
            </w:r>
          </w:p>
        </w:tc>
        <w:tc>
          <w:tcPr>
            <w:tcW w:type="dxa" w:w="5510"/>
          </w:tcPr>
          <w:p>
            <w:pPr>
              <w:spacing w:after="0" w:line="252" w:lineRule="auto"/>
            </w:pPr>
            <w:r>
              <w:rPr>
                <w:rFonts w:ascii="Calibri" w:hAnsi="Calibri"/>
                <w:color w:val="13233A"/>
                <w:sz w:val="17"/>
              </w:rPr>
              <w:t>Lee tablas FARENET sin escribirlas.</w:t>
            </w:r>
          </w:p>
        </w:tc>
      </w:tr>
      <w:tr>
        <w:trPr>
          <w:cantSplit/>
        </w:trPr>
        <w:tc>
          <w:tcPr>
            <w:tcW w:type="dxa" w:w="800"/>
          </w:tcPr>
          <w:p>
            <w:pPr>
              <w:spacing w:after="0" w:line="252" w:lineRule="auto"/>
            </w:pPr>
            <w:r>
              <w:rPr>
                <w:rFonts w:ascii="Calibri" w:hAnsi="Calibri"/>
                <w:color w:val="13233A"/>
                <w:sz w:val="17"/>
              </w:rPr>
              <w:t>5</w:t>
            </w:r>
          </w:p>
        </w:tc>
        <w:tc>
          <w:tcPr>
            <w:tcW w:type="dxa" w:w="3050"/>
          </w:tcPr>
          <w:p>
            <w:pPr>
              <w:spacing w:after="0" w:line="252" w:lineRule="auto"/>
            </w:pPr>
            <w:r>
              <w:rPr>
                <w:rFonts w:ascii="Calibri" w:hAnsi="Calibri"/>
                <w:color w:val="13233A"/>
                <w:sz w:val="17"/>
              </w:rPr>
              <w:t>faregas-vehiculo.mapper.js</w:t>
            </w:r>
          </w:p>
        </w:tc>
        <w:tc>
          <w:tcPr>
            <w:tcW w:type="dxa" w:w="5510"/>
          </w:tcPr>
          <w:p>
            <w:pPr>
              <w:spacing w:after="0" w:line="252" w:lineRule="auto"/>
            </w:pPr>
            <w:r>
              <w:rPr>
                <w:rFonts w:ascii="Calibri" w:hAnsi="Calibri"/>
                <w:color w:val="13233A"/>
                <w:sz w:val="17"/>
              </w:rPr>
              <w:t>Convierte columnas legacy al contrato del formulario.</w:t>
            </w:r>
          </w:p>
        </w:tc>
      </w:tr>
    </w:tbl>
    <w:p>
      <w:pPr>
        <w:spacing w:after="0"/>
      </w:pPr>
    </w:p>
    <w:p>
      <w:pPr>
        <w:pStyle w:val="Heading2"/>
      </w:pPr>
      <w:r>
        <w:t>4.3 Consultar y aplicar un descuento</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800"/>
        <w:gridCol w:w="3050"/>
        <w:gridCol w:w="5510"/>
      </w:tblGrid>
      <w:tr>
        <w:trPr>
          <w:tblHeader w:val="true"/>
        </w:trPr>
        <w:tc>
          <w:tcPr>
            <w:tcW w:type="dxa" w:w="800"/>
            <w:tcMar>
              <w:top w:w="80" w:type="dxa"/>
              <w:start w:w="120" w:type="dxa"/>
              <w:bottom w:w="80" w:type="dxa"/>
              <w:end w:w="120" w:type="dxa"/>
            </w:tcMar>
            <w:vAlign w:val="center"/>
            <w:shd w:fill="082B66"/>
          </w:tcPr>
          <w:p>
            <w:pPr>
              <w:spacing w:after="0"/>
            </w:pPr>
            <w:r>
              <w:rPr>
                <w:rFonts w:ascii="Calibri" w:hAnsi="Calibri"/>
                <w:b/>
                <w:color w:val="FFFFFF"/>
                <w:sz w:val="16"/>
              </w:rPr>
              <w:t>PASO</w:t>
            </w:r>
          </w:p>
        </w:tc>
        <w:tc>
          <w:tcPr>
            <w:tcW w:type="dxa" w:w="3050"/>
            <w:tcMar>
              <w:top w:w="80" w:type="dxa"/>
              <w:start w:w="120" w:type="dxa"/>
              <w:bottom w:w="80" w:type="dxa"/>
              <w:end w:w="120" w:type="dxa"/>
            </w:tcMar>
            <w:vAlign w:val="center"/>
            <w:shd w:fill="082B66"/>
          </w:tcPr>
          <w:p>
            <w:pPr>
              <w:spacing w:after="0"/>
            </w:pPr>
            <w:r>
              <w:rPr>
                <w:rFonts w:ascii="Calibri" w:hAnsi="Calibri"/>
                <w:b/>
                <w:color w:val="FFFFFF"/>
                <w:sz w:val="16"/>
              </w:rPr>
              <w:t>ARCHIVO / CAPA</w:t>
            </w:r>
          </w:p>
        </w:tc>
        <w:tc>
          <w:tcPr>
            <w:tcW w:type="dxa" w:w="5510"/>
            <w:tcMar>
              <w:top w:w="80" w:type="dxa"/>
              <w:start w:w="120" w:type="dxa"/>
              <w:bottom w:w="80" w:type="dxa"/>
              <w:end w:w="120" w:type="dxa"/>
            </w:tcMar>
            <w:vAlign w:val="center"/>
            <w:shd w:fill="082B66"/>
          </w:tcPr>
          <w:p>
            <w:pPr>
              <w:spacing w:after="0"/>
            </w:pPr>
            <w:r>
              <w:rPr>
                <w:rFonts w:ascii="Calibri" w:hAnsi="Calibri"/>
                <w:b/>
                <w:color w:val="FFFFFF"/>
                <w:sz w:val="16"/>
              </w:rPr>
              <w:t>QUÉ OCURRE</w:t>
            </w:r>
          </w:p>
        </w:tc>
      </w:tr>
      <w:tr>
        <w:trPr>
          <w:cantSplit/>
        </w:trPr>
        <w:tc>
          <w:tcPr>
            <w:tcW w:type="dxa" w:w="800"/>
          </w:tcPr>
          <w:p>
            <w:pPr>
              <w:spacing w:after="0" w:line="252" w:lineRule="auto"/>
            </w:pPr>
            <w:r>
              <w:rPr>
                <w:rFonts w:ascii="Calibri" w:hAnsi="Calibri"/>
                <w:color w:val="13233A"/>
                <w:sz w:val="17"/>
              </w:rPr>
              <w:t>1</w:t>
            </w:r>
          </w:p>
        </w:tc>
        <w:tc>
          <w:tcPr>
            <w:tcW w:type="dxa" w:w="3050"/>
          </w:tcPr>
          <w:p>
            <w:pPr>
              <w:spacing w:after="0" w:line="252" w:lineRule="auto"/>
            </w:pPr>
            <w:r>
              <w:rPr>
                <w:rFonts w:ascii="Calibri" w:hAnsi="Calibri"/>
                <w:color w:val="13233A"/>
                <w:sz w:val="17"/>
              </w:rPr>
              <w:t>ConsultaDescuento</w:t>
            </w:r>
          </w:p>
        </w:tc>
        <w:tc>
          <w:tcPr>
            <w:tcW w:type="dxa" w:w="5510"/>
          </w:tcPr>
          <w:p>
            <w:pPr>
              <w:spacing w:after="0" w:line="252" w:lineRule="auto"/>
            </w:pPr>
            <w:r>
              <w:rPr>
                <w:rFonts w:ascii="Calibri" w:hAnsi="Calibri"/>
                <w:color w:val="13233A"/>
                <w:sz w:val="17"/>
              </w:rPr>
              <w:t>Envía código, sede, servicio y datos obligatorios.</w:t>
            </w:r>
          </w:p>
        </w:tc>
      </w:tr>
      <w:tr>
        <w:trPr>
          <w:cantSplit/>
        </w:trPr>
        <w:tc>
          <w:tcPr>
            <w:tcW w:type="dxa" w:w="800"/>
          </w:tcPr>
          <w:p>
            <w:pPr>
              <w:spacing w:after="0" w:line="252" w:lineRule="auto"/>
            </w:pPr>
            <w:r>
              <w:rPr>
                <w:rFonts w:ascii="Calibri" w:hAnsi="Calibri"/>
                <w:color w:val="13233A"/>
                <w:sz w:val="17"/>
              </w:rPr>
              <w:t>2</w:t>
            </w:r>
          </w:p>
        </w:tc>
        <w:tc>
          <w:tcPr>
            <w:tcW w:type="dxa" w:w="3050"/>
          </w:tcPr>
          <w:p>
            <w:pPr>
              <w:spacing w:after="0" w:line="252" w:lineRule="auto"/>
            </w:pPr>
            <w:r>
              <w:rPr>
                <w:rFonts w:ascii="Calibri" w:hAnsi="Calibri"/>
                <w:color w:val="13233A"/>
                <w:sz w:val="17"/>
              </w:rPr>
              <w:t>faregas-descuentos.api.ts</w:t>
            </w:r>
          </w:p>
        </w:tc>
        <w:tc>
          <w:tcPr>
            <w:tcW w:type="dxa" w:w="5510"/>
          </w:tcPr>
          <w:p>
            <w:pPr>
              <w:spacing w:after="0" w:line="252" w:lineRule="auto"/>
            </w:pPr>
            <w:r>
              <w:rPr>
                <w:rFonts w:ascii="Calibri" w:hAnsi="Calibri"/>
                <w:color w:val="13233A"/>
                <w:sz w:val="17"/>
              </w:rPr>
              <w:t>Consulta la campaña/código y solicita aplicación.</w:t>
            </w:r>
          </w:p>
        </w:tc>
      </w:tr>
      <w:tr>
        <w:trPr>
          <w:cantSplit/>
        </w:trPr>
        <w:tc>
          <w:tcPr>
            <w:tcW w:type="dxa" w:w="800"/>
          </w:tcPr>
          <w:p>
            <w:pPr>
              <w:spacing w:after="0" w:line="252" w:lineRule="auto"/>
            </w:pPr>
            <w:r>
              <w:rPr>
                <w:rFonts w:ascii="Calibri" w:hAnsi="Calibri"/>
                <w:color w:val="13233A"/>
                <w:sz w:val="17"/>
              </w:rPr>
              <w:t>3</w:t>
            </w:r>
          </w:p>
        </w:tc>
        <w:tc>
          <w:tcPr>
            <w:tcW w:type="dxa" w:w="3050"/>
          </w:tcPr>
          <w:p>
            <w:pPr>
              <w:spacing w:after="0" w:line="252" w:lineRule="auto"/>
            </w:pPr>
            <w:r>
              <w:rPr>
                <w:rFonts w:ascii="Calibri" w:hAnsi="Calibri"/>
                <w:color w:val="13233A"/>
                <w:sz w:val="17"/>
              </w:rPr>
              <w:t>descuentos controller/service</w:t>
            </w:r>
          </w:p>
        </w:tc>
        <w:tc>
          <w:tcPr>
            <w:tcW w:type="dxa" w:w="5510"/>
          </w:tcPr>
          <w:p>
            <w:pPr>
              <w:spacing w:after="0" w:line="252" w:lineRule="auto"/>
            </w:pPr>
            <w:r>
              <w:rPr>
                <w:rFonts w:ascii="Calibri" w:hAnsi="Calibri"/>
                <w:color w:val="13233A"/>
                <w:sz w:val="17"/>
              </w:rPr>
              <w:t>Valida vigencia, usos, sede, servicio y regla económica.</w:t>
            </w:r>
          </w:p>
        </w:tc>
      </w:tr>
      <w:tr>
        <w:trPr>
          <w:cantSplit/>
        </w:trPr>
        <w:tc>
          <w:tcPr>
            <w:tcW w:type="dxa" w:w="800"/>
          </w:tcPr>
          <w:p>
            <w:pPr>
              <w:spacing w:after="0" w:line="252" w:lineRule="auto"/>
            </w:pPr>
            <w:r>
              <w:rPr>
                <w:rFonts w:ascii="Calibri" w:hAnsi="Calibri"/>
                <w:color w:val="13233A"/>
                <w:sz w:val="17"/>
              </w:rPr>
              <w:t>4</w:t>
            </w:r>
          </w:p>
        </w:tc>
        <w:tc>
          <w:tcPr>
            <w:tcW w:type="dxa" w:w="3050"/>
          </w:tcPr>
          <w:p>
            <w:pPr>
              <w:spacing w:after="0" w:line="252" w:lineRule="auto"/>
            </w:pPr>
            <w:r>
              <w:rPr>
                <w:rFonts w:ascii="Calibri" w:hAnsi="Calibri"/>
                <w:color w:val="13233A"/>
                <w:sz w:val="17"/>
              </w:rPr>
              <w:t>BD FAREGAS</w:t>
            </w:r>
          </w:p>
        </w:tc>
        <w:tc>
          <w:tcPr>
            <w:tcW w:type="dxa" w:w="5510"/>
          </w:tcPr>
          <w:p>
            <w:pPr>
              <w:spacing w:after="0" w:line="252" w:lineRule="auto"/>
            </w:pPr>
            <w:r>
              <w:rPr>
                <w:rFonts w:ascii="Calibri" w:hAnsi="Calibri"/>
                <w:color w:val="13233A"/>
                <w:sz w:val="17"/>
              </w:rPr>
              <w:t>Relaciona campaña, código, regla y borrador; recalcula el total.</w:t>
            </w:r>
          </w:p>
        </w:tc>
      </w:tr>
      <w:tr>
        <w:trPr>
          <w:cantSplit/>
        </w:trPr>
        <w:tc>
          <w:tcPr>
            <w:tcW w:type="dxa" w:w="800"/>
          </w:tcPr>
          <w:p>
            <w:pPr>
              <w:spacing w:after="0" w:line="252" w:lineRule="auto"/>
            </w:pPr>
            <w:r>
              <w:rPr>
                <w:rFonts w:ascii="Calibri" w:hAnsi="Calibri"/>
                <w:color w:val="13233A"/>
                <w:sz w:val="17"/>
              </w:rPr>
              <w:t>5</w:t>
            </w:r>
          </w:p>
        </w:tc>
        <w:tc>
          <w:tcPr>
            <w:tcW w:type="dxa" w:w="3050"/>
          </w:tcPr>
          <w:p>
            <w:pPr>
              <w:spacing w:after="0" w:line="252" w:lineRule="auto"/>
            </w:pPr>
            <w:r>
              <w:rPr>
                <w:rFonts w:ascii="Calibri" w:hAnsi="Calibri"/>
                <w:color w:val="13233A"/>
                <w:sz w:val="17"/>
              </w:rPr>
              <w:t>PagoStep</w:t>
            </w:r>
          </w:p>
        </w:tc>
        <w:tc>
          <w:tcPr>
            <w:tcW w:type="dxa" w:w="5510"/>
          </w:tcPr>
          <w:p>
            <w:pPr>
              <w:spacing w:after="0" w:line="252" w:lineRule="auto"/>
            </w:pPr>
            <w:r>
              <w:rPr>
                <w:rFonts w:ascii="Calibri" w:hAnsi="Calibri"/>
                <w:color w:val="13233A"/>
                <w:sz w:val="17"/>
              </w:rPr>
              <w:t>Trabaja con el total resultante, no con un valor calculado solo en UI.</w:t>
            </w:r>
          </w:p>
        </w:tc>
      </w:tr>
    </w:tbl>
    <w:p>
      <w:pPr>
        <w:spacing w:after="0"/>
      </w:pPr>
    </w:p>
    <w:p>
      <w:pPr>
        <w:pStyle w:val="Heading2"/>
      </w:pPr>
      <w:r>
        <w:t>4.4 Previsualizar y emitir</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800"/>
        <w:gridCol w:w="3050"/>
        <w:gridCol w:w="5510"/>
      </w:tblGrid>
      <w:tr>
        <w:trPr>
          <w:tblHeader w:val="true"/>
        </w:trPr>
        <w:tc>
          <w:tcPr>
            <w:tcW w:type="dxa" w:w="800"/>
            <w:tcMar>
              <w:top w:w="80" w:type="dxa"/>
              <w:start w:w="120" w:type="dxa"/>
              <w:bottom w:w="80" w:type="dxa"/>
              <w:end w:w="120" w:type="dxa"/>
            </w:tcMar>
            <w:vAlign w:val="center"/>
            <w:shd w:fill="082B66"/>
          </w:tcPr>
          <w:p>
            <w:pPr>
              <w:spacing w:after="0"/>
            </w:pPr>
            <w:r>
              <w:rPr>
                <w:rFonts w:ascii="Calibri" w:hAnsi="Calibri"/>
                <w:b/>
                <w:color w:val="FFFFFF"/>
                <w:sz w:val="16"/>
              </w:rPr>
              <w:t>PASO</w:t>
            </w:r>
          </w:p>
        </w:tc>
        <w:tc>
          <w:tcPr>
            <w:tcW w:type="dxa" w:w="3050"/>
            <w:tcMar>
              <w:top w:w="80" w:type="dxa"/>
              <w:start w:w="120" w:type="dxa"/>
              <w:bottom w:w="80" w:type="dxa"/>
              <w:end w:w="120" w:type="dxa"/>
            </w:tcMar>
            <w:vAlign w:val="center"/>
            <w:shd w:fill="082B66"/>
          </w:tcPr>
          <w:p>
            <w:pPr>
              <w:spacing w:after="0"/>
            </w:pPr>
            <w:r>
              <w:rPr>
                <w:rFonts w:ascii="Calibri" w:hAnsi="Calibri"/>
                <w:b/>
                <w:color w:val="FFFFFF"/>
                <w:sz w:val="16"/>
              </w:rPr>
              <w:t>ARCHIVO / CAPA</w:t>
            </w:r>
          </w:p>
        </w:tc>
        <w:tc>
          <w:tcPr>
            <w:tcW w:type="dxa" w:w="5510"/>
            <w:tcMar>
              <w:top w:w="80" w:type="dxa"/>
              <w:start w:w="120" w:type="dxa"/>
              <w:bottom w:w="80" w:type="dxa"/>
              <w:end w:w="120" w:type="dxa"/>
            </w:tcMar>
            <w:vAlign w:val="center"/>
            <w:shd w:fill="082B66"/>
          </w:tcPr>
          <w:p>
            <w:pPr>
              <w:spacing w:after="0"/>
            </w:pPr>
            <w:r>
              <w:rPr>
                <w:rFonts w:ascii="Calibri" w:hAnsi="Calibri"/>
                <w:b/>
                <w:color w:val="FFFFFF"/>
                <w:sz w:val="16"/>
              </w:rPr>
              <w:t>QUÉ OCURRE</w:t>
            </w:r>
          </w:p>
        </w:tc>
      </w:tr>
      <w:tr>
        <w:trPr>
          <w:cantSplit/>
        </w:trPr>
        <w:tc>
          <w:tcPr>
            <w:tcW w:type="dxa" w:w="800"/>
          </w:tcPr>
          <w:p>
            <w:pPr>
              <w:spacing w:after="0" w:line="252" w:lineRule="auto"/>
            </w:pPr>
            <w:r>
              <w:rPr>
                <w:rFonts w:ascii="Calibri" w:hAnsi="Calibri"/>
                <w:color w:val="13233A"/>
                <w:sz w:val="17"/>
              </w:rPr>
              <w:t>1</w:t>
            </w:r>
          </w:p>
        </w:tc>
        <w:tc>
          <w:tcPr>
            <w:tcW w:type="dxa" w:w="3050"/>
          </w:tcPr>
          <w:p>
            <w:pPr>
              <w:spacing w:after="0" w:line="252" w:lineRule="auto"/>
            </w:pPr>
            <w:r>
              <w:rPr>
                <w:rFonts w:ascii="Calibri" w:hAnsi="Calibri"/>
                <w:color w:val="13233A"/>
                <w:sz w:val="17"/>
              </w:rPr>
              <w:t>PrevisualizacionCertificadoStep</w:t>
            </w:r>
          </w:p>
        </w:tc>
        <w:tc>
          <w:tcPr>
            <w:tcW w:type="dxa" w:w="5510"/>
          </w:tcPr>
          <w:p>
            <w:pPr>
              <w:spacing w:after="0" w:line="252" w:lineRule="auto"/>
            </w:pPr>
            <w:r>
              <w:rPr>
                <w:rFonts w:ascii="Calibri" w:hAnsi="Calibri"/>
                <w:color w:val="13233A"/>
                <w:sz w:val="17"/>
              </w:rPr>
              <w:t>Solicita HTML de borrador.</w:t>
            </w:r>
          </w:p>
        </w:tc>
      </w:tr>
      <w:tr>
        <w:trPr>
          <w:cantSplit/>
        </w:trPr>
        <w:tc>
          <w:tcPr>
            <w:tcW w:type="dxa" w:w="800"/>
          </w:tcPr>
          <w:p>
            <w:pPr>
              <w:spacing w:after="0" w:line="252" w:lineRule="auto"/>
            </w:pPr>
            <w:r>
              <w:rPr>
                <w:rFonts w:ascii="Calibri" w:hAnsi="Calibri"/>
                <w:color w:val="13233A"/>
                <w:sz w:val="17"/>
              </w:rPr>
              <w:t>2</w:t>
            </w:r>
          </w:p>
        </w:tc>
        <w:tc>
          <w:tcPr>
            <w:tcW w:type="dxa" w:w="3050"/>
          </w:tcPr>
          <w:p>
            <w:pPr>
              <w:spacing w:after="0" w:line="252" w:lineRule="auto"/>
            </w:pPr>
            <w:r>
              <w:rPr>
                <w:rFonts w:ascii="Calibri" w:hAnsi="Calibri"/>
                <w:color w:val="13233A"/>
                <w:sz w:val="17"/>
              </w:rPr>
              <w:t>certificados service</w:t>
            </w:r>
          </w:p>
        </w:tc>
        <w:tc>
          <w:tcPr>
            <w:tcW w:type="dxa" w:w="5510"/>
          </w:tcPr>
          <w:p>
            <w:pPr>
              <w:spacing w:after="0" w:line="252" w:lineRule="auto"/>
            </w:pPr>
            <w:r>
              <w:rPr>
                <w:rFonts w:ascii="Calibri" w:hAnsi="Calibri"/>
                <w:color w:val="13233A"/>
                <w:sz w:val="17"/>
              </w:rPr>
              <w:t>Valida acceso, reserva/consulta número de preview y reúne datos.</w:t>
            </w:r>
          </w:p>
        </w:tc>
      </w:tr>
      <w:tr>
        <w:trPr>
          <w:cantSplit/>
        </w:trPr>
        <w:tc>
          <w:tcPr>
            <w:tcW w:type="dxa" w:w="800"/>
          </w:tcPr>
          <w:p>
            <w:pPr>
              <w:spacing w:after="0" w:line="252" w:lineRule="auto"/>
            </w:pPr>
            <w:r>
              <w:rPr>
                <w:rFonts w:ascii="Calibri" w:hAnsi="Calibri"/>
                <w:color w:val="13233A"/>
                <w:sz w:val="17"/>
              </w:rPr>
              <w:t>3</w:t>
            </w:r>
          </w:p>
        </w:tc>
        <w:tc>
          <w:tcPr>
            <w:tcW w:type="dxa" w:w="3050"/>
          </w:tcPr>
          <w:p>
            <w:pPr>
              <w:spacing w:after="0" w:line="252" w:lineRule="auto"/>
            </w:pPr>
            <w:r>
              <w:rPr>
                <w:rFonts w:ascii="Calibri" w:hAnsi="Calibri"/>
                <w:color w:val="13233A"/>
                <w:sz w:val="17"/>
              </w:rPr>
              <w:t>templates/*.template.js</w:t>
            </w:r>
          </w:p>
        </w:tc>
        <w:tc>
          <w:tcPr>
            <w:tcW w:type="dxa" w:w="5510"/>
          </w:tcPr>
          <w:p>
            <w:pPr>
              <w:spacing w:after="0" w:line="252" w:lineRule="auto"/>
            </w:pPr>
            <w:r>
              <w:rPr>
                <w:rFonts w:ascii="Calibri" w:hAnsi="Calibri"/>
                <w:color w:val="13233A"/>
                <w:sz w:val="17"/>
              </w:rPr>
              <w:t>Construye el documento según GLP, GNV o conformidad.</w:t>
            </w:r>
          </w:p>
        </w:tc>
      </w:tr>
      <w:tr>
        <w:trPr>
          <w:cantSplit/>
        </w:trPr>
        <w:tc>
          <w:tcPr>
            <w:tcW w:type="dxa" w:w="800"/>
          </w:tcPr>
          <w:p>
            <w:pPr>
              <w:spacing w:after="0" w:line="252" w:lineRule="auto"/>
            </w:pPr>
            <w:r>
              <w:rPr>
                <w:rFonts w:ascii="Calibri" w:hAnsi="Calibri"/>
                <w:color w:val="13233A"/>
                <w:sz w:val="17"/>
              </w:rPr>
              <w:t>4</w:t>
            </w:r>
          </w:p>
        </w:tc>
        <w:tc>
          <w:tcPr>
            <w:tcW w:type="dxa" w:w="3050"/>
          </w:tcPr>
          <w:p>
            <w:pPr>
              <w:spacing w:after="0" w:line="252" w:lineRule="auto"/>
            </w:pPr>
            <w:r>
              <w:rPr>
                <w:rFonts w:ascii="Calibri" w:hAnsi="Calibri"/>
                <w:color w:val="13233A"/>
                <w:sz w:val="17"/>
              </w:rPr>
              <w:t>Verificacion/EmisionStep</w:t>
            </w:r>
          </w:p>
        </w:tc>
        <w:tc>
          <w:tcPr>
            <w:tcW w:type="dxa" w:w="5510"/>
          </w:tcPr>
          <w:p>
            <w:pPr>
              <w:spacing w:after="0" w:line="252" w:lineRule="auto"/>
            </w:pPr>
            <w:r>
              <w:rPr>
                <w:rFonts w:ascii="Calibri" w:hAnsi="Calibri"/>
                <w:color w:val="13233A"/>
                <w:sz w:val="17"/>
              </w:rPr>
              <w:t>Solicita emisión final cuando pagos y facturación lo permiten.</w:t>
            </w:r>
          </w:p>
        </w:tc>
      </w:tr>
      <w:tr>
        <w:trPr>
          <w:cantSplit/>
        </w:trPr>
        <w:tc>
          <w:tcPr>
            <w:tcW w:type="dxa" w:w="800"/>
          </w:tcPr>
          <w:p>
            <w:pPr>
              <w:spacing w:after="0" w:line="252" w:lineRule="auto"/>
            </w:pPr>
            <w:r>
              <w:rPr>
                <w:rFonts w:ascii="Calibri" w:hAnsi="Calibri"/>
                <w:color w:val="13233A"/>
                <w:sz w:val="17"/>
              </w:rPr>
              <w:t>5</w:t>
            </w:r>
          </w:p>
        </w:tc>
        <w:tc>
          <w:tcPr>
            <w:tcW w:type="dxa" w:w="3050"/>
          </w:tcPr>
          <w:p>
            <w:pPr>
              <w:spacing w:after="0" w:line="252" w:lineRule="auto"/>
            </w:pPr>
            <w:r>
              <w:rPr>
                <w:rFonts w:ascii="Calibri" w:hAnsi="Calibri"/>
                <w:color w:val="13233A"/>
                <w:sz w:val="17"/>
              </w:rPr>
              <w:t>certificados service</w:t>
            </w:r>
          </w:p>
        </w:tc>
        <w:tc>
          <w:tcPr>
            <w:tcW w:type="dxa" w:w="5510"/>
          </w:tcPr>
          <w:p>
            <w:pPr>
              <w:spacing w:after="0" w:line="252" w:lineRule="auto"/>
            </w:pPr>
            <w:r>
              <w:rPr>
                <w:rFonts w:ascii="Calibri" w:hAnsi="Calibri"/>
                <w:color w:val="13233A"/>
                <w:sz w:val="17"/>
              </w:rPr>
              <w:t>Consume el correlativo definitivo únicamente al emitir.</w:t>
            </w:r>
          </w:p>
        </w:tc>
      </w:tr>
    </w:tbl>
    <w:p>
      <w:pPr>
        <w:spacing w:after="0"/>
      </w:pPr>
    </w:p>
    <w:p>
      <w:pPr>
        <w:pStyle w:val="Heading2"/>
      </w:pPr>
      <w:r>
        <w:t>4.5 Configurar una tarifa</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800"/>
        <w:gridCol w:w="3050"/>
        <w:gridCol w:w="5510"/>
      </w:tblGrid>
      <w:tr>
        <w:trPr>
          <w:tblHeader w:val="true"/>
        </w:trPr>
        <w:tc>
          <w:tcPr>
            <w:tcW w:type="dxa" w:w="800"/>
            <w:tcMar>
              <w:top w:w="80" w:type="dxa"/>
              <w:start w:w="120" w:type="dxa"/>
              <w:bottom w:w="80" w:type="dxa"/>
              <w:end w:w="120" w:type="dxa"/>
            </w:tcMar>
            <w:vAlign w:val="center"/>
            <w:shd w:fill="082B66"/>
          </w:tcPr>
          <w:p>
            <w:pPr>
              <w:spacing w:after="0"/>
            </w:pPr>
            <w:r>
              <w:rPr>
                <w:rFonts w:ascii="Calibri" w:hAnsi="Calibri"/>
                <w:b/>
                <w:color w:val="FFFFFF"/>
                <w:sz w:val="16"/>
              </w:rPr>
              <w:t>PASO</w:t>
            </w:r>
          </w:p>
        </w:tc>
        <w:tc>
          <w:tcPr>
            <w:tcW w:type="dxa" w:w="3050"/>
            <w:tcMar>
              <w:top w:w="80" w:type="dxa"/>
              <w:start w:w="120" w:type="dxa"/>
              <w:bottom w:w="80" w:type="dxa"/>
              <w:end w:w="120" w:type="dxa"/>
            </w:tcMar>
            <w:vAlign w:val="center"/>
            <w:shd w:fill="082B66"/>
          </w:tcPr>
          <w:p>
            <w:pPr>
              <w:spacing w:after="0"/>
            </w:pPr>
            <w:r>
              <w:rPr>
                <w:rFonts w:ascii="Calibri" w:hAnsi="Calibri"/>
                <w:b/>
                <w:color w:val="FFFFFF"/>
                <w:sz w:val="16"/>
              </w:rPr>
              <w:t>ARCHIVO / CAPA</w:t>
            </w:r>
          </w:p>
        </w:tc>
        <w:tc>
          <w:tcPr>
            <w:tcW w:type="dxa" w:w="5510"/>
            <w:tcMar>
              <w:top w:w="80" w:type="dxa"/>
              <w:start w:w="120" w:type="dxa"/>
              <w:bottom w:w="80" w:type="dxa"/>
              <w:end w:w="120" w:type="dxa"/>
            </w:tcMar>
            <w:vAlign w:val="center"/>
            <w:shd w:fill="082B66"/>
          </w:tcPr>
          <w:p>
            <w:pPr>
              <w:spacing w:after="0"/>
            </w:pPr>
            <w:r>
              <w:rPr>
                <w:rFonts w:ascii="Calibri" w:hAnsi="Calibri"/>
                <w:b/>
                <w:color w:val="FFFFFF"/>
                <w:sz w:val="16"/>
              </w:rPr>
              <w:t>QUÉ OCURRE</w:t>
            </w:r>
          </w:p>
        </w:tc>
      </w:tr>
      <w:tr>
        <w:trPr>
          <w:cantSplit/>
        </w:trPr>
        <w:tc>
          <w:tcPr>
            <w:tcW w:type="dxa" w:w="800"/>
          </w:tcPr>
          <w:p>
            <w:pPr>
              <w:spacing w:after="0" w:line="252" w:lineRule="auto"/>
            </w:pPr>
            <w:r>
              <w:rPr>
                <w:rFonts w:ascii="Calibri" w:hAnsi="Calibri"/>
                <w:color w:val="13233A"/>
                <w:sz w:val="17"/>
              </w:rPr>
              <w:t>1</w:t>
            </w:r>
          </w:p>
        </w:tc>
        <w:tc>
          <w:tcPr>
            <w:tcW w:type="dxa" w:w="3050"/>
          </w:tcPr>
          <w:p>
            <w:pPr>
              <w:spacing w:after="0" w:line="252" w:lineRule="auto"/>
            </w:pPr>
            <w:r>
              <w:rPr>
                <w:rFonts w:ascii="Calibri" w:hAnsi="Calibri"/>
                <w:color w:val="13233A"/>
                <w:sz w:val="17"/>
              </w:rPr>
              <w:t>TabTarifas</w:t>
            </w:r>
          </w:p>
        </w:tc>
        <w:tc>
          <w:tcPr>
            <w:tcW w:type="dxa" w:w="5510"/>
          </w:tcPr>
          <w:p>
            <w:pPr>
              <w:spacing w:after="0" w:line="252" w:lineRule="auto"/>
            </w:pPr>
            <w:r>
              <w:rPr>
                <w:rFonts w:ascii="Calibri" w:hAnsi="Calibri"/>
                <w:color w:val="13233A"/>
                <w:sz w:val="17"/>
              </w:rPr>
              <w:t>Selecciona sede, servicio, precio y SKU.</w:t>
            </w:r>
          </w:p>
        </w:tc>
      </w:tr>
      <w:tr>
        <w:trPr>
          <w:cantSplit/>
        </w:trPr>
        <w:tc>
          <w:tcPr>
            <w:tcW w:type="dxa" w:w="800"/>
          </w:tcPr>
          <w:p>
            <w:pPr>
              <w:spacing w:after="0" w:line="252" w:lineRule="auto"/>
            </w:pPr>
            <w:r>
              <w:rPr>
                <w:rFonts w:ascii="Calibri" w:hAnsi="Calibri"/>
                <w:color w:val="13233A"/>
                <w:sz w:val="17"/>
              </w:rPr>
              <w:t>2</w:t>
            </w:r>
          </w:p>
        </w:tc>
        <w:tc>
          <w:tcPr>
            <w:tcW w:type="dxa" w:w="3050"/>
          </w:tcPr>
          <w:p>
            <w:pPr>
              <w:spacing w:after="0" w:line="252" w:lineRule="auto"/>
            </w:pPr>
            <w:r>
              <w:rPr>
                <w:rFonts w:ascii="Calibri" w:hAnsi="Calibri"/>
                <w:color w:val="13233A"/>
                <w:sz w:val="17"/>
              </w:rPr>
              <w:t>faregas-tarifas-admin.api.ts</w:t>
            </w:r>
          </w:p>
        </w:tc>
        <w:tc>
          <w:tcPr>
            <w:tcW w:type="dxa" w:w="5510"/>
          </w:tcPr>
          <w:p>
            <w:pPr>
              <w:spacing w:after="0" w:line="252" w:lineRule="auto"/>
            </w:pPr>
            <w:r>
              <w:rPr>
                <w:rFonts w:ascii="Calibri" w:hAnsi="Calibri"/>
                <w:color w:val="13233A"/>
                <w:sz w:val="17"/>
              </w:rPr>
              <w:t>Envía el cambio de configuración.</w:t>
            </w:r>
          </w:p>
        </w:tc>
      </w:tr>
      <w:tr>
        <w:trPr>
          <w:cantSplit/>
        </w:trPr>
        <w:tc>
          <w:tcPr>
            <w:tcW w:type="dxa" w:w="800"/>
          </w:tcPr>
          <w:p>
            <w:pPr>
              <w:spacing w:after="0" w:line="252" w:lineRule="auto"/>
            </w:pPr>
            <w:r>
              <w:rPr>
                <w:rFonts w:ascii="Calibri" w:hAnsi="Calibri"/>
                <w:color w:val="13233A"/>
                <w:sz w:val="17"/>
              </w:rPr>
              <w:t>3</w:t>
            </w:r>
          </w:p>
        </w:tc>
        <w:tc>
          <w:tcPr>
            <w:tcW w:type="dxa" w:w="3050"/>
          </w:tcPr>
          <w:p>
            <w:pPr>
              <w:spacing w:after="0" w:line="252" w:lineRule="auto"/>
            </w:pPr>
            <w:r>
              <w:rPr>
                <w:rFonts w:ascii="Calibri" w:hAnsi="Calibri"/>
                <w:color w:val="13233A"/>
                <w:sz w:val="17"/>
              </w:rPr>
              <w:t>config routes + tarifas-admin controller/service</w:t>
            </w:r>
          </w:p>
        </w:tc>
        <w:tc>
          <w:tcPr>
            <w:tcW w:type="dxa" w:w="5510"/>
          </w:tcPr>
          <w:p>
            <w:pPr>
              <w:spacing w:after="0" w:line="252" w:lineRule="auto"/>
            </w:pPr>
            <w:r>
              <w:rPr>
                <w:rFonts w:ascii="Calibri" w:hAnsi="Calibri"/>
                <w:color w:val="13233A"/>
                <w:sz w:val="17"/>
              </w:rPr>
              <w:t>Autoriza, valida y persiste.</w:t>
            </w:r>
          </w:p>
        </w:tc>
      </w:tr>
      <w:tr>
        <w:trPr>
          <w:cantSplit/>
        </w:trPr>
        <w:tc>
          <w:tcPr>
            <w:tcW w:type="dxa" w:w="800"/>
          </w:tcPr>
          <w:p>
            <w:pPr>
              <w:spacing w:after="0" w:line="252" w:lineRule="auto"/>
            </w:pPr>
            <w:r>
              <w:rPr>
                <w:rFonts w:ascii="Calibri" w:hAnsi="Calibri"/>
                <w:color w:val="13233A"/>
                <w:sz w:val="17"/>
              </w:rPr>
              <w:t>4</w:t>
            </w:r>
          </w:p>
        </w:tc>
        <w:tc>
          <w:tcPr>
            <w:tcW w:type="dxa" w:w="3050"/>
          </w:tcPr>
          <w:p>
            <w:pPr>
              <w:spacing w:after="0" w:line="252" w:lineRule="auto"/>
            </w:pPr>
            <w:r>
              <w:rPr>
                <w:rFonts w:ascii="Calibri" w:hAnsi="Calibri"/>
                <w:color w:val="13233A"/>
                <w:sz w:val="17"/>
              </w:rPr>
              <w:t>faregas-tarifas.service.js</w:t>
            </w:r>
          </w:p>
        </w:tc>
        <w:tc>
          <w:tcPr>
            <w:tcW w:type="dxa" w:w="5510"/>
          </w:tcPr>
          <w:p>
            <w:pPr>
              <w:spacing w:after="0" w:line="252" w:lineRule="auto"/>
            </w:pPr>
            <w:r>
              <w:rPr>
                <w:rFonts w:ascii="Calibri" w:hAnsi="Calibri"/>
                <w:color w:val="13233A"/>
                <w:sz w:val="17"/>
              </w:rPr>
              <w:t>Nuevo Certificado lee el catálogo operativo de la sede.</w:t>
            </w:r>
          </w:p>
        </w:tc>
      </w:tr>
      <w:tr>
        <w:trPr>
          <w:cantSplit/>
        </w:trPr>
        <w:tc>
          <w:tcPr>
            <w:tcW w:type="dxa" w:w="800"/>
          </w:tcPr>
          <w:p>
            <w:pPr>
              <w:spacing w:after="0" w:line="252" w:lineRule="auto"/>
            </w:pPr>
            <w:r>
              <w:rPr>
                <w:rFonts w:ascii="Calibri" w:hAnsi="Calibri"/>
                <w:color w:val="13233A"/>
                <w:sz w:val="17"/>
              </w:rPr>
              <w:t>5</w:t>
            </w:r>
          </w:p>
        </w:tc>
        <w:tc>
          <w:tcPr>
            <w:tcW w:type="dxa" w:w="3050"/>
          </w:tcPr>
          <w:p>
            <w:pPr>
              <w:spacing w:after="0" w:line="252" w:lineRule="auto"/>
            </w:pPr>
            <w:r>
              <w:rPr>
                <w:rFonts w:ascii="Calibri" w:hAnsi="Calibri"/>
                <w:color w:val="13233A"/>
                <w:sz w:val="17"/>
              </w:rPr>
              <w:t>CajaStep</w:t>
            </w:r>
          </w:p>
        </w:tc>
        <w:tc>
          <w:tcPr>
            <w:tcW w:type="dxa" w:w="5510"/>
          </w:tcPr>
          <w:p>
            <w:pPr>
              <w:spacing w:after="0" w:line="252" w:lineRule="auto"/>
            </w:pPr>
            <w:r>
              <w:rPr>
                <w:rFonts w:ascii="Calibri" w:hAnsi="Calibri"/>
                <w:color w:val="13233A"/>
                <w:sz w:val="17"/>
              </w:rPr>
              <w:t>Muestra solo servicios activos/tarifados para la sede seleccionada.</w:t>
            </w:r>
          </w:p>
        </w:tc>
      </w:tr>
    </w:tbl>
    <w:p>
      <w:pPr>
        <w:spacing w:after="0"/>
      </w:pPr>
    </w:p>
    <w:p>
      <w:pPr>
        <w:pStyle w:val="Heading1"/>
      </w:pPr>
      <w:r>
        <w:t>5. Guía práctica: qué archivo modificar</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1950"/>
        <w:gridCol w:w="2350"/>
        <w:gridCol w:w="2760"/>
        <w:gridCol w:w="2300"/>
      </w:tblGrid>
      <w:tr>
        <w:trPr>
          <w:tblHeader w:val="true"/>
        </w:trPr>
        <w:tc>
          <w:tcPr>
            <w:tcW w:type="dxa" w:w="1950"/>
            <w:tcMar>
              <w:top w:w="80" w:type="dxa"/>
              <w:start w:w="120" w:type="dxa"/>
              <w:bottom w:w="80" w:type="dxa"/>
              <w:end w:w="120" w:type="dxa"/>
            </w:tcMar>
            <w:vAlign w:val="center"/>
            <w:shd w:fill="082B66"/>
          </w:tcPr>
          <w:p>
            <w:pPr>
              <w:spacing w:after="0"/>
            </w:pPr>
            <w:r>
              <w:rPr>
                <w:rFonts w:ascii="Calibri" w:hAnsi="Calibri"/>
                <w:b/>
                <w:color w:val="FFFFFF"/>
                <w:sz w:val="16"/>
              </w:rPr>
              <w:t>NECESIDAD</w:t>
            </w:r>
          </w:p>
        </w:tc>
        <w:tc>
          <w:tcPr>
            <w:tcW w:type="dxa" w:w="2350"/>
            <w:tcMar>
              <w:top w:w="80" w:type="dxa"/>
              <w:start w:w="120" w:type="dxa"/>
              <w:bottom w:w="80" w:type="dxa"/>
              <w:end w:w="120" w:type="dxa"/>
            </w:tcMar>
            <w:vAlign w:val="center"/>
            <w:shd w:fill="082B66"/>
          </w:tcPr>
          <w:p>
            <w:pPr>
              <w:spacing w:after="0"/>
            </w:pPr>
            <w:r>
              <w:rPr>
                <w:rFonts w:ascii="Calibri" w:hAnsi="Calibri"/>
                <w:b/>
                <w:color w:val="FFFFFF"/>
                <w:sz w:val="16"/>
              </w:rPr>
              <w:t>ARCHIVO PRINCIPAL</w:t>
            </w:r>
          </w:p>
        </w:tc>
        <w:tc>
          <w:tcPr>
            <w:tcW w:type="dxa" w:w="2760"/>
            <w:tcMar>
              <w:top w:w="80" w:type="dxa"/>
              <w:start w:w="120" w:type="dxa"/>
              <w:bottom w:w="80" w:type="dxa"/>
              <w:end w:w="120" w:type="dxa"/>
            </w:tcMar>
            <w:vAlign w:val="center"/>
            <w:shd w:fill="082B66"/>
          </w:tcPr>
          <w:p>
            <w:pPr>
              <w:spacing w:after="0"/>
            </w:pPr>
            <w:r>
              <w:rPr>
                <w:rFonts w:ascii="Calibri" w:hAnsi="Calibri"/>
                <w:b/>
                <w:color w:val="FFFFFF"/>
                <w:sz w:val="16"/>
              </w:rPr>
              <w:t>REVISAR TAMBIÉN</w:t>
            </w:r>
          </w:p>
        </w:tc>
        <w:tc>
          <w:tcPr>
            <w:tcW w:type="dxa" w:w="2300"/>
            <w:tcMar>
              <w:top w:w="80" w:type="dxa"/>
              <w:start w:w="120" w:type="dxa"/>
              <w:bottom w:w="80" w:type="dxa"/>
              <w:end w:w="120" w:type="dxa"/>
            </w:tcMar>
            <w:vAlign w:val="center"/>
            <w:shd w:fill="082B66"/>
          </w:tcPr>
          <w:p>
            <w:pPr>
              <w:spacing w:after="0"/>
            </w:pPr>
            <w:r>
              <w:rPr>
                <w:rFonts w:ascii="Calibri" w:hAnsi="Calibri"/>
                <w:b/>
                <w:color w:val="FFFFFF"/>
                <w:sz w:val="16"/>
              </w:rPr>
              <w:t>VALIDACIÓN</w:t>
            </w:r>
          </w:p>
        </w:tc>
      </w:tr>
      <w:tr>
        <w:trPr>
          <w:cantSplit/>
        </w:trPr>
        <w:tc>
          <w:tcPr>
            <w:tcW w:type="dxa" w:w="1950"/>
          </w:tcPr>
          <w:p>
            <w:pPr>
              <w:spacing w:after="0" w:line="252" w:lineRule="auto"/>
            </w:pPr>
            <w:r>
              <w:rPr>
                <w:rFonts w:ascii="Calibri" w:hAnsi="Calibri"/>
                <w:color w:val="13233A"/>
                <w:sz w:val="15"/>
              </w:rPr>
              <w:t>Cambiar diseño de una pantalla</w:t>
            </w:r>
          </w:p>
        </w:tc>
        <w:tc>
          <w:tcPr>
            <w:tcW w:type="dxa" w:w="2350"/>
          </w:tcPr>
          <w:p>
            <w:pPr>
              <w:spacing w:after="0" w:line="252" w:lineRule="auto"/>
            </w:pPr>
            <w:r>
              <w:rPr>
                <w:rFonts w:ascii="Calibri" w:hAnsi="Calibri"/>
                <w:color w:val="13233A"/>
                <w:sz w:val="15"/>
              </w:rPr>
              <w:t>views/.../*.tsx</w:t>
            </w:r>
          </w:p>
        </w:tc>
        <w:tc>
          <w:tcPr>
            <w:tcW w:type="dxa" w:w="2760"/>
          </w:tcPr>
          <w:p>
            <w:pPr>
              <w:spacing w:after="0" w:line="252" w:lineRule="auto"/>
            </w:pPr>
            <w:r>
              <w:rPr>
                <w:rFonts w:ascii="Calibri" w:hAnsi="Calibri"/>
                <w:color w:val="13233A"/>
                <w:sz w:val="15"/>
              </w:rPr>
              <w:t>componentes hijos</w:t>
            </w:r>
          </w:p>
        </w:tc>
        <w:tc>
          <w:tcPr>
            <w:tcW w:type="dxa" w:w="2300"/>
          </w:tcPr>
          <w:p>
            <w:pPr>
              <w:spacing w:after="0" w:line="252" w:lineRule="auto"/>
            </w:pPr>
            <w:r>
              <w:rPr>
                <w:rFonts w:ascii="Calibri" w:hAnsi="Calibri"/>
                <w:color w:val="13233A"/>
                <w:sz w:val="15"/>
              </w:rPr>
              <w:t>npm build + prueba visual</w:t>
            </w:r>
          </w:p>
        </w:tc>
      </w:tr>
      <w:tr>
        <w:trPr>
          <w:cantSplit/>
        </w:trPr>
        <w:tc>
          <w:tcPr>
            <w:tcW w:type="dxa" w:w="1950"/>
          </w:tcPr>
          <w:p>
            <w:pPr>
              <w:spacing w:after="0" w:line="252" w:lineRule="auto"/>
            </w:pPr>
            <w:r>
              <w:rPr>
                <w:rFonts w:ascii="Calibri" w:hAnsi="Calibri"/>
                <w:color w:val="13233A"/>
                <w:sz w:val="15"/>
              </w:rPr>
              <w:t>Agregar un campo al wizard</w:t>
            </w:r>
          </w:p>
        </w:tc>
        <w:tc>
          <w:tcPr>
            <w:tcW w:type="dxa" w:w="2350"/>
          </w:tcPr>
          <w:p>
            <w:pPr>
              <w:spacing w:after="0" w:line="252" w:lineRule="auto"/>
            </w:pPr>
            <w:r>
              <w:rPr>
                <w:rFonts w:ascii="Calibri" w:hAnsi="Calibri"/>
                <w:color w:val="13233A"/>
                <w:sz w:val="15"/>
              </w:rPr>
              <w:t>NuevoCertificadoView + Step</w:t>
            </w:r>
          </w:p>
        </w:tc>
        <w:tc>
          <w:tcPr>
            <w:tcW w:type="dxa" w:w="2760"/>
          </w:tcPr>
          <w:p>
            <w:pPr>
              <w:spacing w:after="0" w:line="252" w:lineRule="auto"/>
            </w:pPr>
            <w:r>
              <w:rPr>
                <w:rFonts w:ascii="Calibri" w:hAnsi="Calibri"/>
                <w:color w:val="13233A"/>
                <w:sz w:val="15"/>
              </w:rPr>
              <w:t>types, api, controller, service, migración</w:t>
            </w:r>
          </w:p>
        </w:tc>
        <w:tc>
          <w:tcPr>
            <w:tcW w:type="dxa" w:w="2300"/>
          </w:tcPr>
          <w:p>
            <w:pPr>
              <w:spacing w:after="0" w:line="252" w:lineRule="auto"/>
            </w:pPr>
            <w:r>
              <w:rPr>
                <w:rFonts w:ascii="Calibri" w:hAnsi="Calibri"/>
                <w:color w:val="13233A"/>
                <w:sz w:val="15"/>
              </w:rPr>
              <w:t>crear/continuar borrador</w:t>
            </w:r>
          </w:p>
        </w:tc>
      </w:tr>
      <w:tr>
        <w:trPr>
          <w:cantSplit/>
        </w:trPr>
        <w:tc>
          <w:tcPr>
            <w:tcW w:type="dxa" w:w="1950"/>
          </w:tcPr>
          <w:p>
            <w:pPr>
              <w:spacing w:after="0" w:line="252" w:lineRule="auto"/>
            </w:pPr>
            <w:r>
              <w:rPr>
                <w:rFonts w:ascii="Calibri" w:hAnsi="Calibri"/>
                <w:color w:val="13233A"/>
                <w:sz w:val="15"/>
              </w:rPr>
              <w:t>Agregar un endpoint</w:t>
            </w:r>
          </w:p>
        </w:tc>
        <w:tc>
          <w:tcPr>
            <w:tcW w:type="dxa" w:w="2350"/>
          </w:tcPr>
          <w:p>
            <w:pPr>
              <w:spacing w:after="0" w:line="252" w:lineRule="auto"/>
            </w:pPr>
            <w:r>
              <w:rPr>
                <w:rFonts w:ascii="Calibri" w:hAnsi="Calibri"/>
                <w:color w:val="13233A"/>
                <w:sz w:val="15"/>
              </w:rPr>
              <w:t>routes/*.routes.js</w:t>
            </w:r>
          </w:p>
        </w:tc>
        <w:tc>
          <w:tcPr>
            <w:tcW w:type="dxa" w:w="2760"/>
          </w:tcPr>
          <w:p>
            <w:pPr>
              <w:spacing w:after="0" w:line="252" w:lineRule="auto"/>
            </w:pPr>
            <w:r>
              <w:rPr>
                <w:rFonts w:ascii="Calibri" w:hAnsi="Calibri"/>
                <w:color w:val="13233A"/>
                <w:sz w:val="15"/>
              </w:rPr>
              <w:t>controller, service, api.ts y tipos</w:t>
            </w:r>
          </w:p>
        </w:tc>
        <w:tc>
          <w:tcPr>
            <w:tcW w:type="dxa" w:w="2300"/>
          </w:tcPr>
          <w:p>
            <w:pPr>
              <w:spacing w:after="0" w:line="252" w:lineRule="auto"/>
            </w:pPr>
            <w:r>
              <w:rPr>
                <w:rFonts w:ascii="Calibri" w:hAnsi="Calibri"/>
                <w:color w:val="13233A"/>
                <w:sz w:val="15"/>
              </w:rPr>
              <w:t>códigos HTTP y auth</w:t>
            </w:r>
          </w:p>
        </w:tc>
      </w:tr>
      <w:tr>
        <w:trPr>
          <w:cantSplit/>
        </w:trPr>
        <w:tc>
          <w:tcPr>
            <w:tcW w:type="dxa" w:w="1950"/>
          </w:tcPr>
          <w:p>
            <w:pPr>
              <w:spacing w:after="0" w:line="252" w:lineRule="auto"/>
            </w:pPr>
            <w:r>
              <w:rPr>
                <w:rFonts w:ascii="Calibri" w:hAnsi="Calibri"/>
                <w:color w:val="13233A"/>
                <w:sz w:val="15"/>
              </w:rPr>
              <w:t>Cambiar regla de negocio</w:t>
            </w:r>
          </w:p>
        </w:tc>
        <w:tc>
          <w:tcPr>
            <w:tcW w:type="dxa" w:w="2350"/>
          </w:tcPr>
          <w:p>
            <w:pPr>
              <w:spacing w:after="0" w:line="252" w:lineRule="auto"/>
            </w:pPr>
            <w:r>
              <w:rPr>
                <w:rFonts w:ascii="Calibri" w:hAnsi="Calibri"/>
                <w:color w:val="13233A"/>
                <w:sz w:val="15"/>
              </w:rPr>
              <w:t>services/*.service.js o *.rules.js</w:t>
            </w:r>
          </w:p>
        </w:tc>
        <w:tc>
          <w:tcPr>
            <w:tcW w:type="dxa" w:w="2760"/>
          </w:tcPr>
          <w:p>
            <w:pPr>
              <w:spacing w:after="0" w:line="252" w:lineRule="auto"/>
            </w:pPr>
            <w:r>
              <w:rPr>
                <w:rFonts w:ascii="Calibri" w:hAnsi="Calibri"/>
                <w:color w:val="13233A"/>
                <w:sz w:val="15"/>
              </w:rPr>
              <w:t>tests y controlador</w:t>
            </w:r>
          </w:p>
        </w:tc>
        <w:tc>
          <w:tcPr>
            <w:tcW w:type="dxa" w:w="2300"/>
          </w:tcPr>
          <w:p>
            <w:pPr>
              <w:spacing w:after="0" w:line="252" w:lineRule="auto"/>
            </w:pPr>
            <w:r>
              <w:rPr>
                <w:rFonts w:ascii="Calibri" w:hAnsi="Calibri"/>
                <w:color w:val="13233A"/>
                <w:sz w:val="15"/>
              </w:rPr>
              <w:t>tests del dominio</w:t>
            </w:r>
          </w:p>
        </w:tc>
      </w:tr>
      <w:tr>
        <w:trPr>
          <w:cantSplit/>
        </w:trPr>
        <w:tc>
          <w:tcPr>
            <w:tcW w:type="dxa" w:w="1950"/>
          </w:tcPr>
          <w:p>
            <w:pPr>
              <w:spacing w:after="0" w:line="252" w:lineRule="auto"/>
            </w:pPr>
            <w:r>
              <w:rPr>
                <w:rFonts w:ascii="Calibri" w:hAnsi="Calibri"/>
                <w:color w:val="13233A"/>
                <w:sz w:val="15"/>
              </w:rPr>
              <w:t>Cambiar certificado</w:t>
            </w:r>
          </w:p>
        </w:tc>
        <w:tc>
          <w:tcPr>
            <w:tcW w:type="dxa" w:w="2350"/>
          </w:tcPr>
          <w:p>
            <w:pPr>
              <w:spacing w:after="0" w:line="252" w:lineRule="auto"/>
            </w:pPr>
            <w:r>
              <w:rPr>
                <w:rFonts w:ascii="Calibri" w:hAnsi="Calibri"/>
                <w:color w:val="13233A"/>
                <w:sz w:val="15"/>
              </w:rPr>
              <w:t>templates/*.template.js</w:t>
            </w:r>
          </w:p>
        </w:tc>
        <w:tc>
          <w:tcPr>
            <w:tcW w:type="dxa" w:w="2760"/>
          </w:tcPr>
          <w:p>
            <w:pPr>
              <w:spacing w:after="0" w:line="252" w:lineRule="auto"/>
            </w:pPr>
            <w:r>
              <w:rPr>
                <w:rFonts w:ascii="Calibri" w:hAnsi="Calibri"/>
                <w:color w:val="13233A"/>
                <w:sz w:val="15"/>
              </w:rPr>
              <w:t>template-utils y PDF de referencia</w:t>
            </w:r>
          </w:p>
        </w:tc>
        <w:tc>
          <w:tcPr>
            <w:tcW w:type="dxa" w:w="2300"/>
          </w:tcPr>
          <w:p>
            <w:pPr>
              <w:spacing w:after="0" w:line="252" w:lineRule="auto"/>
            </w:pPr>
            <w:r>
              <w:rPr>
                <w:rFonts w:ascii="Calibri" w:hAnsi="Calibri"/>
                <w:color w:val="13233A"/>
                <w:sz w:val="15"/>
              </w:rPr>
              <w:t>preview de cinco tipos</w:t>
            </w:r>
          </w:p>
        </w:tc>
      </w:tr>
      <w:tr>
        <w:trPr>
          <w:cantSplit/>
        </w:trPr>
        <w:tc>
          <w:tcPr>
            <w:tcW w:type="dxa" w:w="1950"/>
          </w:tcPr>
          <w:p>
            <w:pPr>
              <w:spacing w:after="0" w:line="252" w:lineRule="auto"/>
            </w:pPr>
            <w:r>
              <w:rPr>
                <w:rFonts w:ascii="Calibri" w:hAnsi="Calibri"/>
                <w:color w:val="13233A"/>
                <w:sz w:val="15"/>
              </w:rPr>
              <w:t>Cambiar tablas</w:t>
            </w:r>
          </w:p>
        </w:tc>
        <w:tc>
          <w:tcPr>
            <w:tcW w:type="dxa" w:w="2350"/>
          </w:tcPr>
          <w:p>
            <w:pPr>
              <w:spacing w:after="0" w:line="252" w:lineRule="auto"/>
            </w:pPr>
            <w:r>
              <w:rPr>
                <w:rFonts w:ascii="Calibri" w:hAnsi="Calibri"/>
                <w:color w:val="13233A"/>
                <w:sz w:val="15"/>
              </w:rPr>
              <w:t>database/migrations/*.sql</w:t>
            </w:r>
          </w:p>
        </w:tc>
        <w:tc>
          <w:tcPr>
            <w:tcW w:type="dxa" w:w="2760"/>
          </w:tcPr>
          <w:p>
            <w:pPr>
              <w:spacing w:after="0" w:line="252" w:lineRule="auto"/>
            </w:pPr>
            <w:r>
              <w:rPr>
                <w:rFonts w:ascii="Calibri" w:hAnsi="Calibri"/>
                <w:color w:val="13233A"/>
                <w:sz w:val="15"/>
              </w:rPr>
              <w:t>service SQL, tipos y documentación BD</w:t>
            </w:r>
          </w:p>
        </w:tc>
        <w:tc>
          <w:tcPr>
            <w:tcW w:type="dxa" w:w="2300"/>
          </w:tcPr>
          <w:p>
            <w:pPr>
              <w:spacing w:after="0" w:line="252" w:lineRule="auto"/>
            </w:pPr>
            <w:r>
              <w:rPr>
                <w:rFonts w:ascii="Calibri" w:hAnsi="Calibri"/>
                <w:color w:val="13233A"/>
                <w:sz w:val="15"/>
              </w:rPr>
              <w:t>migración en BD limpia</w:t>
            </w:r>
          </w:p>
        </w:tc>
      </w:tr>
      <w:tr>
        <w:trPr>
          <w:cantSplit/>
        </w:trPr>
        <w:tc>
          <w:tcPr>
            <w:tcW w:type="dxa" w:w="1950"/>
          </w:tcPr>
          <w:p>
            <w:pPr>
              <w:spacing w:after="0" w:line="252" w:lineRule="auto"/>
            </w:pPr>
            <w:r>
              <w:rPr>
                <w:rFonts w:ascii="Calibri" w:hAnsi="Calibri"/>
                <w:color w:val="13233A"/>
                <w:sz w:val="15"/>
              </w:rPr>
              <w:t>Leer datos FARENET</w:t>
            </w:r>
          </w:p>
        </w:tc>
        <w:tc>
          <w:tcPr>
            <w:tcW w:type="dxa" w:w="2350"/>
          </w:tcPr>
          <w:p>
            <w:pPr>
              <w:spacing w:after="0" w:line="252" w:lineRule="auto"/>
            </w:pPr>
            <w:r>
              <w:rPr>
                <w:rFonts w:ascii="Calibri" w:hAnsi="Calibri"/>
                <w:color w:val="13233A"/>
                <w:sz w:val="15"/>
              </w:rPr>
              <w:t>integrations/farenet-read.adapter.js</w:t>
            </w:r>
          </w:p>
        </w:tc>
        <w:tc>
          <w:tcPr>
            <w:tcW w:type="dxa" w:w="2760"/>
          </w:tcPr>
          <w:p>
            <w:pPr>
              <w:spacing w:after="0" w:line="252" w:lineRule="auto"/>
            </w:pPr>
            <w:r>
              <w:rPr>
                <w:rFonts w:ascii="Calibri" w:hAnsi="Calibri"/>
                <w:color w:val="13233A"/>
                <w:sz w:val="15"/>
              </w:rPr>
              <w:t>mapper y service consumidor</w:t>
            </w:r>
          </w:p>
        </w:tc>
        <w:tc>
          <w:tcPr>
            <w:tcW w:type="dxa" w:w="2300"/>
          </w:tcPr>
          <w:p>
            <w:pPr>
              <w:spacing w:after="0" w:line="252" w:lineRule="auto"/>
            </w:pPr>
            <w:r>
              <w:rPr>
                <w:rFonts w:ascii="Calibri" w:hAnsi="Calibri"/>
                <w:color w:val="13233A"/>
                <w:sz w:val="15"/>
              </w:rPr>
              <w:t>confirmar solo lectura</w:t>
            </w:r>
          </w:p>
        </w:tc>
      </w:tr>
      <w:tr>
        <w:trPr>
          <w:cantSplit/>
        </w:trPr>
        <w:tc>
          <w:tcPr>
            <w:tcW w:type="dxa" w:w="1950"/>
          </w:tcPr>
          <w:p>
            <w:pPr>
              <w:spacing w:after="0" w:line="252" w:lineRule="auto"/>
            </w:pPr>
            <w:r>
              <w:rPr>
                <w:rFonts w:ascii="Calibri" w:hAnsi="Calibri"/>
                <w:color w:val="13233A"/>
                <w:sz w:val="15"/>
              </w:rPr>
              <w:t>Cambiar Nubefact</w:t>
            </w:r>
          </w:p>
        </w:tc>
        <w:tc>
          <w:tcPr>
            <w:tcW w:type="dxa" w:w="2350"/>
          </w:tcPr>
          <w:p>
            <w:pPr>
              <w:spacing w:after="0" w:line="252" w:lineRule="auto"/>
            </w:pPr>
            <w:r>
              <w:rPr>
                <w:rFonts w:ascii="Calibri" w:hAnsi="Calibri"/>
                <w:color w:val="13233A"/>
                <w:sz w:val="15"/>
              </w:rPr>
              <w:t>integrations/nubefact-faregas.adapter.js</w:t>
            </w:r>
          </w:p>
        </w:tc>
        <w:tc>
          <w:tcPr>
            <w:tcW w:type="dxa" w:w="2760"/>
          </w:tcPr>
          <w:p>
            <w:pPr>
              <w:spacing w:after="0" w:line="252" w:lineRule="auto"/>
            </w:pPr>
            <w:r>
              <w:rPr>
                <w:rFonts w:ascii="Calibri" w:hAnsi="Calibri"/>
                <w:color w:val="13233A"/>
                <w:sz w:val="15"/>
              </w:rPr>
              <w:t>facturación service/rules</w:t>
            </w:r>
          </w:p>
        </w:tc>
        <w:tc>
          <w:tcPr>
            <w:tcW w:type="dxa" w:w="2300"/>
          </w:tcPr>
          <w:p>
            <w:pPr>
              <w:spacing w:after="0" w:line="252" w:lineRule="auto"/>
            </w:pPr>
            <w:r>
              <w:rPr>
                <w:rFonts w:ascii="Calibri" w:hAnsi="Calibri"/>
                <w:color w:val="13233A"/>
                <w:sz w:val="15"/>
              </w:rPr>
              <w:t>sandbox/proveedor</w:t>
            </w:r>
          </w:p>
        </w:tc>
      </w:tr>
      <w:tr>
        <w:trPr>
          <w:cantSplit/>
        </w:trPr>
        <w:tc>
          <w:tcPr>
            <w:tcW w:type="dxa" w:w="1950"/>
          </w:tcPr>
          <w:p>
            <w:pPr>
              <w:spacing w:after="0" w:line="252" w:lineRule="auto"/>
            </w:pPr>
            <w:r>
              <w:rPr>
                <w:rFonts w:ascii="Calibri" w:hAnsi="Calibri"/>
                <w:color w:val="13233A"/>
                <w:sz w:val="15"/>
              </w:rPr>
              <w:t>Cambiar permisos</w:t>
            </w:r>
          </w:p>
        </w:tc>
        <w:tc>
          <w:tcPr>
            <w:tcW w:type="dxa" w:w="2350"/>
          </w:tcPr>
          <w:p>
            <w:pPr>
              <w:spacing w:after="0" w:line="252" w:lineRule="auto"/>
            </w:pPr>
            <w:r>
              <w:rPr>
                <w:rFonts w:ascii="Calibri" w:hAnsi="Calibri"/>
                <w:color w:val="13233A"/>
                <w:sz w:val="15"/>
              </w:rPr>
              <w:t>middleware + routes</w:t>
            </w:r>
          </w:p>
        </w:tc>
        <w:tc>
          <w:tcPr>
            <w:tcW w:type="dxa" w:w="2760"/>
          </w:tcPr>
          <w:p>
            <w:pPr>
              <w:spacing w:after="0" w:line="252" w:lineRule="auto"/>
            </w:pPr>
            <w:r>
              <w:rPr>
                <w:rFonts w:ascii="Calibri" w:hAnsi="Calibri"/>
                <w:color w:val="13233A"/>
                <w:sz w:val="15"/>
              </w:rPr>
              <w:t>fg_permiso y frontend App/Sidebar</w:t>
            </w:r>
          </w:p>
        </w:tc>
        <w:tc>
          <w:tcPr>
            <w:tcW w:type="dxa" w:w="2300"/>
          </w:tcPr>
          <w:p>
            <w:pPr>
              <w:spacing w:after="0" w:line="252" w:lineRule="auto"/>
            </w:pPr>
            <w:r>
              <w:rPr>
                <w:rFonts w:ascii="Calibri" w:hAnsi="Calibri"/>
                <w:color w:val="13233A"/>
                <w:sz w:val="15"/>
              </w:rPr>
              <w:t>perfil sin/ con permiso</w:t>
            </w:r>
          </w:p>
        </w:tc>
      </w:tr>
      <w:tr>
        <w:trPr>
          <w:cantSplit/>
        </w:trPr>
        <w:tc>
          <w:tcPr>
            <w:tcW w:type="dxa" w:w="1950"/>
          </w:tcPr>
          <w:p>
            <w:pPr>
              <w:spacing w:after="0" w:line="252" w:lineRule="auto"/>
            </w:pPr>
            <w:r>
              <w:rPr>
                <w:rFonts w:ascii="Calibri" w:hAnsi="Calibri"/>
                <w:color w:val="13233A"/>
                <w:sz w:val="15"/>
              </w:rPr>
              <w:t>Cambiar auditoría</w:t>
            </w:r>
          </w:p>
        </w:tc>
        <w:tc>
          <w:tcPr>
            <w:tcW w:type="dxa" w:w="2350"/>
          </w:tcPr>
          <w:p>
            <w:pPr>
              <w:spacing w:after="0" w:line="252" w:lineRule="auto"/>
            </w:pPr>
            <w:r>
              <w:rPr>
                <w:rFonts w:ascii="Calibri" w:hAnsi="Calibri"/>
                <w:color w:val="13233A"/>
                <w:sz w:val="15"/>
              </w:rPr>
              <w:t>faregas-auditoria.service/middleware</w:t>
            </w:r>
          </w:p>
        </w:tc>
        <w:tc>
          <w:tcPr>
            <w:tcW w:type="dxa" w:w="2760"/>
          </w:tcPr>
          <w:p>
            <w:pPr>
              <w:spacing w:after="0" w:line="252" w:lineRule="auto"/>
            </w:pPr>
            <w:r>
              <w:rPr>
                <w:rFonts w:ascii="Calibri" w:hAnsi="Calibri"/>
                <w:color w:val="13233A"/>
                <w:sz w:val="15"/>
              </w:rPr>
              <w:t>controladores críticos y AuditoriaView</w:t>
            </w:r>
          </w:p>
        </w:tc>
        <w:tc>
          <w:tcPr>
            <w:tcW w:type="dxa" w:w="2300"/>
          </w:tcPr>
          <w:p>
            <w:pPr>
              <w:spacing w:after="0" w:line="252" w:lineRule="auto"/>
            </w:pPr>
            <w:r>
              <w:rPr>
                <w:rFonts w:ascii="Calibri" w:hAnsi="Calibri"/>
                <w:color w:val="13233A"/>
                <w:sz w:val="15"/>
              </w:rPr>
              <w:t>evento visible con usuario</w:t>
            </w:r>
          </w:p>
        </w:tc>
      </w:tr>
    </w:tbl>
    <w:p>
      <w:pPr>
        <w:spacing w:after="0"/>
      </w:pPr>
    </w:p>
    <w:p>
      <w:pPr>
        <w:pStyle w:val="Heading2"/>
      </w:pPr>
      <w:r>
        <w:t>5.1 Regla de cambio vertical</w:t>
      </w:r>
    </w:p>
    <w:tbl>
      <w:tblPr>
        <w:tblW w:type="dxa" w:w="9360"/>
        <w:jc w:val="left"/>
        <w:tblLayout w:type="fixed"/>
        <w:tblLook w:firstColumn="1" w:firstRow="1" w:lastColumn="0" w:lastRow="0" w:noHBand="0" w:noVBand="1" w:val="04A0"/>
        <w:tblInd w:w="120" w:type="dxa"/>
        <w:tblBorders>
          <w:top w:val="single" w:sz="8" w:color="F4A300"/>
          <w:left w:val="single" w:sz="8" w:color="F4A300"/>
          <w:bottom w:val="single" w:sz="8" w:color="F4A300"/>
          <w:right w:val="single" w:sz="8" w:color="F4A300"/>
          <w:insideH w:val="single" w:sz="8" w:color="F4A300"/>
          <w:insideV w:val="single" w:sz="8" w:color="F4A300"/>
        </w:tblBorders>
      </w:tblPr>
      <w:tblGrid>
        <w:gridCol w:w="9360"/>
      </w:tblGrid>
      <w:tr>
        <w:tc>
          <w:tcPr>
            <w:tcW w:type="dxa" w:w="9360"/>
            <w:tcMar>
              <w:top w:w="80" w:type="dxa"/>
              <w:start w:w="120" w:type="dxa"/>
              <w:bottom w:w="80" w:type="dxa"/>
              <w:end w:w="120" w:type="dxa"/>
            </w:tcMar>
            <w:vAlign w:val="center"/>
            <w:shd w:fill="FFF7E4"/>
          </w:tcPr>
          <w:p>
            <w:pPr>
              <w:spacing w:after="60"/>
            </w:pPr>
            <w:r>
              <w:rPr>
                <w:rFonts w:ascii="Calibri" w:hAnsi="Calibri"/>
                <w:b/>
                <w:color w:val="F4A300"/>
                <w:sz w:val="21"/>
              </w:rPr>
              <w:t>No modificar una sola capa a ciegas</w:t>
            </w:r>
          </w:p>
          <w:p>
            <w:pPr>
              <w:spacing w:after="0" w:line="288" w:lineRule="auto"/>
            </w:pPr>
            <w:r>
              <w:rPr>
                <w:rFonts w:ascii="Calibri" w:hAnsi="Calibri"/>
                <w:color w:val="13233A"/>
                <w:sz w:val="20"/>
              </w:rPr>
              <w:t>Un cambio funcional suele atravesar contrato TypeScript, cliente API, ruta, controlador, servicio y base de datos. Si solo se cambia la pantalla, puede verse correcto pero no persistir; si solo se cambia el backend, el frontend puede seguir enviando el payload antiguo.</w:t>
            </w:r>
          </w:p>
        </w:tc>
      </w:tr>
    </w:tbl>
    <w:p>
      <w:pPr>
        <w:spacing w:after="0"/>
      </w:pPr>
    </w:p>
    <w:p>
      <w:pPr>
        <w:pStyle w:val="Heading2"/>
      </w:pPr>
      <w:r>
        <w:t>5.2 Comprobación mínima por cambio</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900"/>
        <w:gridCol w:w="8460"/>
      </w:tblGrid>
      <w:tr>
        <w:trPr>
          <w:tblHeader w:val="true"/>
        </w:trPr>
        <w:tc>
          <w:tcPr>
            <w:tcW w:type="dxa" w:w="900"/>
            <w:tcMar>
              <w:top w:w="80" w:type="dxa"/>
              <w:start w:w="120" w:type="dxa"/>
              <w:bottom w:w="80" w:type="dxa"/>
              <w:end w:w="120" w:type="dxa"/>
            </w:tcMar>
            <w:vAlign w:val="center"/>
            <w:shd w:fill="082B66"/>
          </w:tcPr>
          <w:p>
            <w:pPr>
              <w:spacing w:after="0"/>
            </w:pPr>
            <w:r>
              <w:rPr>
                <w:rFonts w:ascii="Calibri" w:hAnsi="Calibri"/>
                <w:b/>
                <w:color w:val="FFFFFF"/>
                <w:sz w:val="16"/>
              </w:rPr>
              <w:t>ORDEN</w:t>
            </w:r>
          </w:p>
        </w:tc>
        <w:tc>
          <w:tcPr>
            <w:tcW w:type="dxa" w:w="8460"/>
            <w:tcMar>
              <w:top w:w="80" w:type="dxa"/>
              <w:start w:w="120" w:type="dxa"/>
              <w:bottom w:w="80" w:type="dxa"/>
              <w:end w:w="120" w:type="dxa"/>
            </w:tcMar>
            <w:vAlign w:val="center"/>
            <w:shd w:fill="082B66"/>
          </w:tcPr>
          <w:p>
            <w:pPr>
              <w:spacing w:after="0"/>
            </w:pPr>
            <w:r>
              <w:rPr>
                <w:rFonts w:ascii="Calibri" w:hAnsi="Calibri"/>
                <w:b/>
                <w:color w:val="FFFFFF"/>
                <w:sz w:val="16"/>
              </w:rPr>
              <w:t>COMPROBACIÓN</w:t>
            </w:r>
          </w:p>
        </w:tc>
      </w:tr>
      <w:tr>
        <w:trPr>
          <w:cantSplit/>
        </w:trPr>
        <w:tc>
          <w:tcPr>
            <w:tcW w:type="dxa" w:w="900"/>
          </w:tcPr>
          <w:p>
            <w:pPr>
              <w:spacing w:after="0" w:line="252" w:lineRule="auto"/>
            </w:pPr>
            <w:r>
              <w:rPr>
                <w:rFonts w:ascii="Calibri" w:hAnsi="Calibri"/>
                <w:color w:val="13233A"/>
                <w:sz w:val="18"/>
              </w:rPr>
              <w:t>1</w:t>
            </w:r>
          </w:p>
        </w:tc>
        <w:tc>
          <w:tcPr>
            <w:tcW w:type="dxa" w:w="8460"/>
          </w:tcPr>
          <w:p>
            <w:pPr>
              <w:spacing w:after="0" w:line="252" w:lineRule="auto"/>
            </w:pPr>
            <w:r>
              <w:rPr>
                <w:rFonts w:ascii="Calibri" w:hAnsi="Calibri"/>
                <w:color w:val="13233A"/>
                <w:sz w:val="18"/>
              </w:rPr>
              <w:t>Buscar todas las referencias al nombre del campo, endpoint o tabla con rg.</w:t>
            </w:r>
          </w:p>
        </w:tc>
      </w:tr>
      <w:tr>
        <w:trPr>
          <w:cantSplit/>
        </w:trPr>
        <w:tc>
          <w:tcPr>
            <w:tcW w:type="dxa" w:w="900"/>
          </w:tcPr>
          <w:p>
            <w:pPr>
              <w:spacing w:after="0" w:line="252" w:lineRule="auto"/>
            </w:pPr>
            <w:r>
              <w:rPr>
                <w:rFonts w:ascii="Calibri" w:hAnsi="Calibri"/>
                <w:color w:val="13233A"/>
                <w:sz w:val="18"/>
              </w:rPr>
              <w:t>2</w:t>
            </w:r>
          </w:p>
        </w:tc>
        <w:tc>
          <w:tcPr>
            <w:tcW w:type="dxa" w:w="8460"/>
          </w:tcPr>
          <w:p>
            <w:pPr>
              <w:spacing w:after="0" w:line="252" w:lineRule="auto"/>
            </w:pPr>
            <w:r>
              <w:rPr>
                <w:rFonts w:ascii="Calibri" w:hAnsi="Calibri"/>
                <w:color w:val="13233A"/>
                <w:sz w:val="18"/>
              </w:rPr>
              <w:t>Confirmar contrato request/response y códigos 400/401/403/404/409/500.</w:t>
            </w:r>
          </w:p>
        </w:tc>
      </w:tr>
      <w:tr>
        <w:trPr>
          <w:cantSplit/>
        </w:trPr>
        <w:tc>
          <w:tcPr>
            <w:tcW w:type="dxa" w:w="900"/>
          </w:tcPr>
          <w:p>
            <w:pPr>
              <w:spacing w:after="0" w:line="252" w:lineRule="auto"/>
            </w:pPr>
            <w:r>
              <w:rPr>
                <w:rFonts w:ascii="Calibri" w:hAnsi="Calibri"/>
                <w:color w:val="13233A"/>
                <w:sz w:val="18"/>
              </w:rPr>
              <w:t>3</w:t>
            </w:r>
          </w:p>
        </w:tc>
        <w:tc>
          <w:tcPr>
            <w:tcW w:type="dxa" w:w="8460"/>
          </w:tcPr>
          <w:p>
            <w:pPr>
              <w:spacing w:after="0" w:line="252" w:lineRule="auto"/>
            </w:pPr>
            <w:r>
              <w:rPr>
                <w:rFonts w:ascii="Calibri" w:hAnsi="Calibri"/>
                <w:color w:val="13233A"/>
                <w:sz w:val="18"/>
              </w:rPr>
              <w:t>Ejecutar pruebas backend relacionadas y build TypeScript frontend.</w:t>
            </w:r>
          </w:p>
        </w:tc>
      </w:tr>
      <w:tr>
        <w:trPr>
          <w:cantSplit/>
        </w:trPr>
        <w:tc>
          <w:tcPr>
            <w:tcW w:type="dxa" w:w="900"/>
          </w:tcPr>
          <w:p>
            <w:pPr>
              <w:spacing w:after="0" w:line="252" w:lineRule="auto"/>
            </w:pPr>
            <w:r>
              <w:rPr>
                <w:rFonts w:ascii="Calibri" w:hAnsi="Calibri"/>
                <w:color w:val="13233A"/>
                <w:sz w:val="18"/>
              </w:rPr>
              <w:t>4</w:t>
            </w:r>
          </w:p>
        </w:tc>
        <w:tc>
          <w:tcPr>
            <w:tcW w:type="dxa" w:w="8460"/>
          </w:tcPr>
          <w:p>
            <w:pPr>
              <w:spacing w:after="0" w:line="252" w:lineRule="auto"/>
            </w:pPr>
            <w:r>
              <w:rPr>
                <w:rFonts w:ascii="Calibri" w:hAnsi="Calibri"/>
                <w:color w:val="13233A"/>
                <w:sz w:val="18"/>
              </w:rPr>
              <w:t>Probar creación, guardado, recarga y continuación del borrador.</w:t>
            </w:r>
          </w:p>
        </w:tc>
      </w:tr>
      <w:tr>
        <w:trPr>
          <w:cantSplit/>
        </w:trPr>
        <w:tc>
          <w:tcPr>
            <w:tcW w:type="dxa" w:w="900"/>
          </w:tcPr>
          <w:p>
            <w:pPr>
              <w:spacing w:after="0" w:line="252" w:lineRule="auto"/>
            </w:pPr>
            <w:r>
              <w:rPr>
                <w:rFonts w:ascii="Calibri" w:hAnsi="Calibri"/>
                <w:color w:val="13233A"/>
                <w:sz w:val="18"/>
              </w:rPr>
              <w:t>5</w:t>
            </w:r>
          </w:p>
        </w:tc>
        <w:tc>
          <w:tcPr>
            <w:tcW w:type="dxa" w:w="8460"/>
          </w:tcPr>
          <w:p>
            <w:pPr>
              <w:spacing w:after="0" w:line="252" w:lineRule="auto"/>
            </w:pPr>
            <w:r>
              <w:rPr>
                <w:rFonts w:ascii="Calibri" w:hAnsi="Calibri"/>
                <w:color w:val="13233A"/>
                <w:sz w:val="18"/>
              </w:rPr>
              <w:t>Verificar auditoría, permisos de sede y ausencia de escrituras sobre FARENET.</w:t>
            </w:r>
          </w:p>
        </w:tc>
      </w:tr>
    </w:tbl>
    <w:p>
      <w:pPr>
        <w:spacing w:after="0"/>
      </w:pPr>
    </w:p>
    <w:p>
      <w:pPr>
        <w:pStyle w:val="Heading1"/>
      </w:pPr>
      <w:r>
        <w:t>6. Límites, dependencias y decisiones vigentes</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2250"/>
        <w:gridCol w:w="2300"/>
        <w:gridCol w:w="4810"/>
      </w:tblGrid>
      <w:tr>
        <w:trPr>
          <w:tblHeader w:val="true"/>
        </w:trPr>
        <w:tc>
          <w:tcPr>
            <w:tcW w:type="dxa" w:w="2250"/>
            <w:tcMar>
              <w:top w:w="80" w:type="dxa"/>
              <w:start w:w="120" w:type="dxa"/>
              <w:bottom w:w="80" w:type="dxa"/>
              <w:end w:w="120" w:type="dxa"/>
            </w:tcMar>
            <w:vAlign w:val="center"/>
            <w:shd w:fill="082B66"/>
          </w:tcPr>
          <w:p>
            <w:pPr>
              <w:spacing w:after="0"/>
            </w:pPr>
            <w:r>
              <w:rPr>
                <w:rFonts w:ascii="Calibri" w:hAnsi="Calibri"/>
                <w:b/>
                <w:color w:val="FFFFFF"/>
                <w:sz w:val="16"/>
              </w:rPr>
              <w:t>ELEMENTO</w:t>
            </w:r>
          </w:p>
        </w:tc>
        <w:tc>
          <w:tcPr>
            <w:tcW w:type="dxa" w:w="2300"/>
            <w:tcMar>
              <w:top w:w="80" w:type="dxa"/>
              <w:start w:w="120" w:type="dxa"/>
              <w:bottom w:w="80" w:type="dxa"/>
              <w:end w:w="120" w:type="dxa"/>
            </w:tcMar>
            <w:vAlign w:val="center"/>
            <w:shd w:fill="082B66"/>
          </w:tcPr>
          <w:p>
            <w:pPr>
              <w:spacing w:after="0"/>
            </w:pPr>
            <w:r>
              <w:rPr>
                <w:rFonts w:ascii="Calibri" w:hAnsi="Calibri"/>
                <w:b/>
                <w:color w:val="FFFFFF"/>
                <w:sz w:val="16"/>
              </w:rPr>
              <w:t>PROPIEDAD</w:t>
            </w:r>
          </w:p>
        </w:tc>
        <w:tc>
          <w:tcPr>
            <w:tcW w:type="dxa" w:w="4810"/>
            <w:tcMar>
              <w:top w:w="80" w:type="dxa"/>
              <w:start w:w="120" w:type="dxa"/>
              <w:bottom w:w="80" w:type="dxa"/>
              <w:end w:w="120" w:type="dxa"/>
            </w:tcMar>
            <w:vAlign w:val="center"/>
            <w:shd w:fill="082B66"/>
          </w:tcPr>
          <w:p>
            <w:pPr>
              <w:spacing w:after="0"/>
            </w:pPr>
            <w:r>
              <w:rPr>
                <w:rFonts w:ascii="Calibri" w:hAnsi="Calibri"/>
                <w:b/>
                <w:color w:val="FFFFFF"/>
                <w:sz w:val="16"/>
              </w:rPr>
              <w:t>REGLA</w:t>
            </w:r>
          </w:p>
        </w:tc>
      </w:tr>
      <w:tr>
        <w:trPr>
          <w:cantSplit/>
        </w:trPr>
        <w:tc>
          <w:tcPr>
            <w:tcW w:type="dxa" w:w="2250"/>
          </w:tcPr>
          <w:p>
            <w:pPr>
              <w:spacing w:after="0" w:line="252" w:lineRule="auto"/>
            </w:pPr>
            <w:r>
              <w:rPr>
                <w:rFonts w:ascii="Calibri" w:hAnsi="Calibri"/>
                <w:color w:val="13233A"/>
                <w:sz w:val="17"/>
              </w:rPr>
              <w:t>Tablas fg_*</w:t>
            </w:r>
          </w:p>
        </w:tc>
        <w:tc>
          <w:tcPr>
            <w:tcW w:type="dxa" w:w="2300"/>
          </w:tcPr>
          <w:p>
            <w:pPr>
              <w:spacing w:after="0" w:line="252" w:lineRule="auto"/>
            </w:pPr>
            <w:r>
              <w:rPr>
                <w:rFonts w:ascii="Calibri" w:hAnsi="Calibri"/>
                <w:color w:val="13233A"/>
                <w:sz w:val="17"/>
              </w:rPr>
              <w:t>FAREGAS</w:t>
            </w:r>
          </w:p>
        </w:tc>
        <w:tc>
          <w:tcPr>
            <w:tcW w:type="dxa" w:w="4810"/>
          </w:tcPr>
          <w:p>
            <w:pPr>
              <w:spacing w:after="0" w:line="252" w:lineRule="auto"/>
            </w:pPr>
            <w:r>
              <w:rPr>
                <w:rFonts w:ascii="Calibri" w:hAnsi="Calibri"/>
                <w:color w:val="13233A"/>
                <w:sz w:val="17"/>
              </w:rPr>
              <w:t>Se escriben desde los servicios del módulo.</w:t>
            </w:r>
          </w:p>
        </w:tc>
      </w:tr>
      <w:tr>
        <w:trPr>
          <w:cantSplit/>
        </w:trPr>
        <w:tc>
          <w:tcPr>
            <w:tcW w:type="dxa" w:w="2250"/>
          </w:tcPr>
          <w:p>
            <w:pPr>
              <w:spacing w:after="0" w:line="252" w:lineRule="auto"/>
            </w:pPr>
            <w:r>
              <w:rPr>
                <w:rFonts w:ascii="Calibri" w:hAnsi="Calibri"/>
                <w:color w:val="13233A"/>
                <w:sz w:val="17"/>
              </w:rPr>
              <w:t>Tablas FARENET compartidas</w:t>
            </w:r>
          </w:p>
        </w:tc>
        <w:tc>
          <w:tcPr>
            <w:tcW w:type="dxa" w:w="2300"/>
          </w:tcPr>
          <w:p>
            <w:pPr>
              <w:spacing w:after="0" w:line="252" w:lineRule="auto"/>
            </w:pPr>
            <w:r>
              <w:rPr>
                <w:rFonts w:ascii="Calibri" w:hAnsi="Calibri"/>
                <w:color w:val="13233A"/>
                <w:sz w:val="17"/>
              </w:rPr>
              <w:t>FARENET</w:t>
            </w:r>
          </w:p>
        </w:tc>
        <w:tc>
          <w:tcPr>
            <w:tcW w:type="dxa" w:w="4810"/>
          </w:tcPr>
          <w:p>
            <w:pPr>
              <w:spacing w:after="0" w:line="252" w:lineRule="auto"/>
            </w:pPr>
            <w:r>
              <w:rPr>
                <w:rFonts w:ascii="Calibri" w:hAnsi="Calibri"/>
                <w:color w:val="13233A"/>
                <w:sz w:val="17"/>
              </w:rPr>
              <w:t>FAREGAS las consulta mediante adaptador de solo lectura, salvo sincronizaciones expresamente aprobadas.</w:t>
            </w:r>
          </w:p>
        </w:tc>
      </w:tr>
      <w:tr>
        <w:trPr>
          <w:cantSplit/>
        </w:trPr>
        <w:tc>
          <w:tcPr>
            <w:tcW w:type="dxa" w:w="2250"/>
          </w:tcPr>
          <w:p>
            <w:pPr>
              <w:spacing w:after="0" w:line="252" w:lineRule="auto"/>
            </w:pPr>
            <w:r>
              <w:rPr>
                <w:rFonts w:ascii="Calibri" w:hAnsi="Calibri"/>
                <w:color w:val="13233A"/>
                <w:sz w:val="17"/>
              </w:rPr>
              <w:t>Pool PostgreSQL</w:t>
            </w:r>
          </w:p>
        </w:tc>
        <w:tc>
          <w:tcPr>
            <w:tcW w:type="dxa" w:w="2300"/>
          </w:tcPr>
          <w:p>
            <w:pPr>
              <w:spacing w:after="0" w:line="252" w:lineRule="auto"/>
            </w:pPr>
            <w:r>
              <w:rPr>
                <w:rFonts w:ascii="Calibri" w:hAnsi="Calibri"/>
                <w:color w:val="13233A"/>
                <w:sz w:val="17"/>
              </w:rPr>
              <w:t>Infraestructura compartida</w:t>
            </w:r>
          </w:p>
        </w:tc>
        <w:tc>
          <w:tcPr>
            <w:tcW w:type="dxa" w:w="4810"/>
          </w:tcPr>
          <w:p>
            <w:pPr>
              <w:spacing w:after="0" w:line="252" w:lineRule="auto"/>
            </w:pPr>
            <w:r>
              <w:rPr>
                <w:rFonts w:ascii="Calibri" w:hAnsi="Calibri"/>
                <w:color w:val="13233A"/>
                <w:sz w:val="17"/>
              </w:rPr>
              <w:t>La conexión es común; la propiedad lógica de las tablas sigue separada.</w:t>
            </w:r>
          </w:p>
        </w:tc>
      </w:tr>
      <w:tr>
        <w:trPr>
          <w:cantSplit/>
        </w:trPr>
        <w:tc>
          <w:tcPr>
            <w:tcW w:type="dxa" w:w="2250"/>
          </w:tcPr>
          <w:p>
            <w:pPr>
              <w:spacing w:after="0" w:line="252" w:lineRule="auto"/>
            </w:pPr>
            <w:r>
              <w:rPr>
                <w:rFonts w:ascii="Calibri" w:hAnsi="Calibri"/>
                <w:color w:val="13233A"/>
                <w:sz w:val="17"/>
              </w:rPr>
              <w:t>Nubefact</w:t>
            </w:r>
          </w:p>
        </w:tc>
        <w:tc>
          <w:tcPr>
            <w:tcW w:type="dxa" w:w="2300"/>
          </w:tcPr>
          <w:p>
            <w:pPr>
              <w:spacing w:after="0" w:line="252" w:lineRule="auto"/>
            </w:pPr>
            <w:r>
              <w:rPr>
                <w:rFonts w:ascii="Calibri" w:hAnsi="Calibri"/>
                <w:color w:val="13233A"/>
                <w:sz w:val="17"/>
              </w:rPr>
              <w:t>Proveedor externo</w:t>
            </w:r>
          </w:p>
        </w:tc>
        <w:tc>
          <w:tcPr>
            <w:tcW w:type="dxa" w:w="4810"/>
          </w:tcPr>
          <w:p>
            <w:pPr>
              <w:spacing w:after="0" w:line="252" w:lineRule="auto"/>
            </w:pPr>
            <w:r>
              <w:rPr>
                <w:rFonts w:ascii="Calibri" w:hAnsi="Calibri"/>
                <w:color w:val="13233A"/>
                <w:sz w:val="17"/>
              </w:rPr>
              <w:t>Se accede por adaptador; no debe invocarse desde una vista o controlador.</w:t>
            </w:r>
          </w:p>
        </w:tc>
      </w:tr>
      <w:tr>
        <w:trPr>
          <w:cantSplit/>
        </w:trPr>
        <w:tc>
          <w:tcPr>
            <w:tcW w:type="dxa" w:w="2250"/>
          </w:tcPr>
          <w:p>
            <w:pPr>
              <w:spacing w:after="0" w:line="252" w:lineRule="auto"/>
            </w:pPr>
            <w:r>
              <w:rPr>
                <w:rFonts w:ascii="Calibri" w:hAnsi="Calibri"/>
                <w:color w:val="13233A"/>
                <w:sz w:val="17"/>
              </w:rPr>
              <w:t>PDF de certificados/</w:t>
            </w:r>
          </w:p>
        </w:tc>
        <w:tc>
          <w:tcPr>
            <w:tcW w:type="dxa" w:w="2300"/>
          </w:tcPr>
          <w:p>
            <w:pPr>
              <w:spacing w:after="0" w:line="252" w:lineRule="auto"/>
            </w:pPr>
            <w:r>
              <w:rPr>
                <w:rFonts w:ascii="Calibri" w:hAnsi="Calibri"/>
                <w:color w:val="13233A"/>
                <w:sz w:val="17"/>
              </w:rPr>
              <w:t>Referencia</w:t>
            </w:r>
          </w:p>
        </w:tc>
        <w:tc>
          <w:tcPr>
            <w:tcW w:type="dxa" w:w="4810"/>
          </w:tcPr>
          <w:p>
            <w:pPr>
              <w:spacing w:after="0" w:line="252" w:lineRule="auto"/>
            </w:pPr>
            <w:r>
              <w:rPr>
                <w:rFonts w:ascii="Calibri" w:hAnsi="Calibri"/>
                <w:color w:val="13233A"/>
                <w:sz w:val="17"/>
              </w:rPr>
              <w:t>Sirven para validar contenido; las plantillas JS son las ejecutables.</w:t>
            </w:r>
          </w:p>
        </w:tc>
      </w:tr>
      <w:tr>
        <w:trPr>
          <w:cantSplit/>
        </w:trPr>
        <w:tc>
          <w:tcPr>
            <w:tcW w:type="dxa" w:w="2250"/>
          </w:tcPr>
          <w:p>
            <w:pPr>
              <w:spacing w:after="0" w:line="252" w:lineRule="auto"/>
            </w:pPr>
            <w:r>
              <w:rPr>
                <w:rFonts w:ascii="Calibri" w:hAnsi="Calibri"/>
                <w:color w:val="13233A"/>
                <w:sz w:val="17"/>
              </w:rPr>
              <w:t>Correlativos</w:t>
            </w:r>
          </w:p>
        </w:tc>
        <w:tc>
          <w:tcPr>
            <w:tcW w:type="dxa" w:w="2300"/>
          </w:tcPr>
          <w:p>
            <w:pPr>
              <w:spacing w:after="0" w:line="252" w:lineRule="auto"/>
            </w:pPr>
            <w:r>
              <w:rPr>
                <w:rFonts w:ascii="Calibri" w:hAnsi="Calibri"/>
                <w:color w:val="13233A"/>
                <w:sz w:val="17"/>
              </w:rPr>
              <w:t>FAREGAS por sede/modalidad</w:t>
            </w:r>
          </w:p>
        </w:tc>
        <w:tc>
          <w:tcPr>
            <w:tcW w:type="dxa" w:w="4810"/>
          </w:tcPr>
          <w:p>
            <w:pPr>
              <w:spacing w:after="0" w:line="252" w:lineRule="auto"/>
            </w:pPr>
            <w:r>
              <w:rPr>
                <w:rFonts w:ascii="Calibri" w:hAnsi="Calibri"/>
                <w:color w:val="13233A"/>
                <w:sz w:val="17"/>
              </w:rPr>
              <w:t>Previsualizar no consume; emitir consume y debe ser transaccional.</w:t>
            </w:r>
          </w:p>
        </w:tc>
      </w:tr>
      <w:tr>
        <w:trPr>
          <w:cantSplit/>
        </w:trPr>
        <w:tc>
          <w:tcPr>
            <w:tcW w:type="dxa" w:w="2250"/>
          </w:tcPr>
          <w:p>
            <w:pPr>
              <w:spacing w:after="0" w:line="252" w:lineRule="auto"/>
            </w:pPr>
            <w:r>
              <w:rPr>
                <w:rFonts w:ascii="Calibri" w:hAnsi="Calibri"/>
                <w:color w:val="13233A"/>
                <w:sz w:val="17"/>
              </w:rPr>
              <w:t>Series de comprobante</w:t>
            </w:r>
          </w:p>
        </w:tc>
        <w:tc>
          <w:tcPr>
            <w:tcW w:type="dxa" w:w="2300"/>
          </w:tcPr>
          <w:p>
            <w:pPr>
              <w:spacing w:after="0" w:line="252" w:lineRule="auto"/>
            </w:pPr>
            <w:r>
              <w:rPr>
                <w:rFonts w:ascii="Calibri" w:hAnsi="Calibri"/>
                <w:color w:val="13233A"/>
                <w:sz w:val="17"/>
              </w:rPr>
              <w:t>FAREGAS por sede</w:t>
            </w:r>
          </w:p>
        </w:tc>
        <w:tc>
          <w:tcPr>
            <w:tcW w:type="dxa" w:w="4810"/>
          </w:tcPr>
          <w:p>
            <w:pPr>
              <w:spacing w:after="0" w:line="252" w:lineRule="auto"/>
            </w:pPr>
            <w:r>
              <w:rPr>
                <w:rFonts w:ascii="Calibri" w:hAnsi="Calibri"/>
                <w:color w:val="13233A"/>
                <w:sz w:val="17"/>
              </w:rPr>
              <w:t>Su activación productiva debe coordinarse con Nubefact y SUNAT.</w:t>
            </w:r>
          </w:p>
        </w:tc>
      </w:tr>
    </w:tbl>
    <w:p>
      <w:pPr>
        <w:spacing w:after="0"/>
      </w:pPr>
    </w:p>
    <w:p>
      <w:pPr>
        <w:pStyle w:val="Heading2"/>
      </w:pPr>
      <w:r>
        <w:t>6.1 Ausencia deliberada de models/</w:t>
      </w:r>
    </w:p>
    <w:p>
      <w:pPr>
        <w:spacing w:before="0" w:after="120" w:line="300" w:lineRule="auto"/>
      </w:pPr>
      <w:r>
        <w:rPr>
          <w:rFonts w:ascii="Calibri" w:hAnsi="Calibri"/>
          <w:b w:val="0"/>
          <w:i w:val="0"/>
          <w:color w:val="13233A"/>
          <w:sz w:val="22"/>
        </w:rPr>
        <w:t>El backend FAREGAS actual no contiene modules/faregas/models. Las consultas SQL están en services. Esta estructura es funcional, aunque los servicios más grandes —especialmente certificados— podrían dividirse en repositorios en una refactorización futura. La guía documenta el estado actual y no propone mover archivos durante esta tarea.</w:t>
      </w:r>
    </w:p>
    <w:p>
      <w:pPr>
        <w:pStyle w:val="Heading2"/>
      </w:pPr>
      <w:r>
        <w:t>6.2 Archivos que no participan del runtime</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2800"/>
        <w:gridCol w:w="6560"/>
      </w:tblGrid>
      <w:tr>
        <w:trPr>
          <w:tblHeader w:val="true"/>
        </w:trPr>
        <w:tc>
          <w:tcPr>
            <w:tcW w:type="dxa" w:w="2800"/>
            <w:tcMar>
              <w:top w:w="80" w:type="dxa"/>
              <w:start w:w="120" w:type="dxa"/>
              <w:bottom w:w="80" w:type="dxa"/>
              <w:end w:w="120" w:type="dxa"/>
            </w:tcMar>
            <w:vAlign w:val="center"/>
            <w:shd w:fill="082B66"/>
          </w:tcPr>
          <w:p>
            <w:pPr>
              <w:spacing w:after="0"/>
            </w:pPr>
            <w:r>
              <w:rPr>
                <w:rFonts w:ascii="Calibri" w:hAnsi="Calibri"/>
                <w:b/>
                <w:color w:val="FFFFFF"/>
                <w:sz w:val="16"/>
              </w:rPr>
              <w:t>TIPO</w:t>
            </w:r>
          </w:p>
        </w:tc>
        <w:tc>
          <w:tcPr>
            <w:tcW w:type="dxa" w:w="6560"/>
            <w:tcMar>
              <w:top w:w="80" w:type="dxa"/>
              <w:start w:w="120" w:type="dxa"/>
              <w:bottom w:w="80" w:type="dxa"/>
              <w:end w:w="120" w:type="dxa"/>
            </w:tcMar>
            <w:vAlign w:val="center"/>
            <w:shd w:fill="082B66"/>
          </w:tcPr>
          <w:p>
            <w:pPr>
              <w:spacing w:after="0"/>
            </w:pPr>
            <w:r>
              <w:rPr>
                <w:rFonts w:ascii="Calibri" w:hAnsi="Calibri"/>
                <w:b/>
                <w:color w:val="FFFFFF"/>
                <w:sz w:val="16"/>
              </w:rPr>
              <w:t>USO</w:t>
            </w:r>
          </w:p>
        </w:tc>
      </w:tr>
      <w:tr>
        <w:trPr>
          <w:cantSplit/>
        </w:trPr>
        <w:tc>
          <w:tcPr>
            <w:tcW w:type="dxa" w:w="2800"/>
          </w:tcPr>
          <w:p>
            <w:pPr>
              <w:spacing w:after="0" w:line="252" w:lineRule="auto"/>
            </w:pPr>
            <w:r>
              <w:rPr>
                <w:rFonts w:ascii="Calibri" w:hAnsi="Calibri"/>
                <w:color w:val="13233A"/>
                <w:sz w:val="18"/>
              </w:rPr>
              <w:t>certificados/*.pdf</w:t>
            </w:r>
          </w:p>
        </w:tc>
        <w:tc>
          <w:tcPr>
            <w:tcW w:type="dxa" w:w="6560"/>
          </w:tcPr>
          <w:p>
            <w:pPr>
              <w:spacing w:after="0" w:line="252" w:lineRule="auto"/>
            </w:pPr>
            <w:r>
              <w:rPr>
                <w:rFonts w:ascii="Calibri" w:hAnsi="Calibri"/>
                <w:color w:val="13233A"/>
                <w:sz w:val="18"/>
              </w:rPr>
              <w:t>Muestras oficiales para comparar campos y diseño.</w:t>
            </w:r>
          </w:p>
        </w:tc>
      </w:tr>
      <w:tr>
        <w:trPr>
          <w:cantSplit/>
        </w:trPr>
        <w:tc>
          <w:tcPr>
            <w:tcW w:type="dxa" w:w="2800"/>
          </w:tcPr>
          <w:p>
            <w:pPr>
              <w:spacing w:after="0" w:line="252" w:lineRule="auto"/>
            </w:pPr>
            <w:r>
              <w:rPr>
                <w:rFonts w:ascii="Calibri" w:hAnsi="Calibri"/>
                <w:color w:val="13233A"/>
                <w:sz w:val="18"/>
              </w:rPr>
              <w:t>database/migrations/*.sql</w:t>
            </w:r>
          </w:p>
        </w:tc>
        <w:tc>
          <w:tcPr>
            <w:tcW w:type="dxa" w:w="6560"/>
          </w:tcPr>
          <w:p>
            <w:pPr>
              <w:spacing w:after="0" w:line="252" w:lineRule="auto"/>
            </w:pPr>
            <w:r>
              <w:rPr>
                <w:rFonts w:ascii="Calibri" w:hAnsi="Calibri"/>
                <w:color w:val="13233A"/>
                <w:sz w:val="18"/>
              </w:rPr>
              <w:t>Evolución/instalación de la BD; no se ejecutan por cada request.</w:t>
            </w:r>
          </w:p>
        </w:tc>
      </w:tr>
      <w:tr>
        <w:trPr>
          <w:cantSplit/>
        </w:trPr>
        <w:tc>
          <w:tcPr>
            <w:tcW w:type="dxa" w:w="2800"/>
          </w:tcPr>
          <w:p>
            <w:pPr>
              <w:spacing w:after="0" w:line="252" w:lineRule="auto"/>
            </w:pPr>
            <w:r>
              <w:rPr>
                <w:rFonts w:ascii="Calibri" w:hAnsi="Calibri"/>
                <w:color w:val="13233A"/>
                <w:sz w:val="18"/>
              </w:rPr>
              <w:t>database/scripts/*.js</w:t>
            </w:r>
          </w:p>
        </w:tc>
        <w:tc>
          <w:tcPr>
            <w:tcW w:type="dxa" w:w="6560"/>
          </w:tcPr>
          <w:p>
            <w:pPr>
              <w:spacing w:after="0" w:line="252" w:lineRule="auto"/>
            </w:pPr>
            <w:r>
              <w:rPr>
                <w:rFonts w:ascii="Calibri" w:hAnsi="Calibri"/>
                <w:color w:val="13233A"/>
                <w:sz w:val="18"/>
              </w:rPr>
              <w:t>Herramientas manuales de carga o mantenimiento.</w:t>
            </w:r>
          </w:p>
        </w:tc>
      </w:tr>
      <w:tr>
        <w:trPr>
          <w:cantSplit/>
        </w:trPr>
        <w:tc>
          <w:tcPr>
            <w:tcW w:type="dxa" w:w="2800"/>
          </w:tcPr>
          <w:p>
            <w:pPr>
              <w:spacing w:after="0" w:line="252" w:lineRule="auto"/>
            </w:pPr>
            <w:r>
              <w:rPr>
                <w:rFonts w:ascii="Calibri" w:hAnsi="Calibri"/>
                <w:color w:val="13233A"/>
                <w:sz w:val="18"/>
              </w:rPr>
              <w:t>tests/*.test.js</w:t>
            </w:r>
          </w:p>
        </w:tc>
        <w:tc>
          <w:tcPr>
            <w:tcW w:type="dxa" w:w="6560"/>
          </w:tcPr>
          <w:p>
            <w:pPr>
              <w:spacing w:after="0" w:line="252" w:lineRule="auto"/>
            </w:pPr>
            <w:r>
              <w:rPr>
                <w:rFonts w:ascii="Calibri" w:hAnsi="Calibri"/>
                <w:color w:val="13233A"/>
                <w:sz w:val="18"/>
              </w:rPr>
              <w:t>Validación automatizada; se ejecutan en desarrollo/CI.</w:t>
            </w:r>
          </w:p>
        </w:tc>
      </w:tr>
      <w:tr>
        <w:trPr>
          <w:cantSplit/>
        </w:trPr>
        <w:tc>
          <w:tcPr>
            <w:tcW w:type="dxa" w:w="2800"/>
          </w:tcPr>
          <w:p>
            <w:pPr>
              <w:spacing w:after="0" w:line="252" w:lineRule="auto"/>
            </w:pPr>
            <w:r>
              <w:rPr>
                <w:rFonts w:ascii="Calibri" w:hAnsi="Calibri"/>
                <w:color w:val="13233A"/>
                <w:sz w:val="18"/>
              </w:rPr>
              <w:t>scripts/generate_docs.js</w:t>
            </w:r>
          </w:p>
        </w:tc>
        <w:tc>
          <w:tcPr>
            <w:tcW w:type="dxa" w:w="6560"/>
          </w:tcPr>
          <w:p>
            <w:pPr>
              <w:spacing w:after="0" w:line="252" w:lineRule="auto"/>
            </w:pPr>
            <w:r>
              <w:rPr>
                <w:rFonts w:ascii="Calibri" w:hAnsi="Calibri"/>
                <w:color w:val="13233A"/>
                <w:sz w:val="18"/>
              </w:rPr>
              <w:t>Herramienta histórica; no interviene en el servidor Express.</w:t>
            </w:r>
          </w:p>
        </w:tc>
      </w:tr>
    </w:tbl>
    <w:p>
      <w:pPr>
        <w:spacing w:after="0"/>
      </w:pPr>
    </w:p>
    <w:p>
      <w:pPr>
        <w:pStyle w:val="Heading1"/>
      </w:pPr>
      <w:r>
        <w:t>7. Ruta recomendada para entender FAREGAS</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1400"/>
        <w:gridCol w:w="3600"/>
        <w:gridCol w:w="4360"/>
      </w:tblGrid>
      <w:tr>
        <w:trPr>
          <w:tblHeader w:val="true"/>
        </w:trPr>
        <w:tc>
          <w:tcPr>
            <w:tcW w:type="dxa" w:w="1400"/>
            <w:tcMar>
              <w:top w:w="80" w:type="dxa"/>
              <w:start w:w="120" w:type="dxa"/>
              <w:bottom w:w="80" w:type="dxa"/>
              <w:end w:w="120" w:type="dxa"/>
            </w:tcMar>
            <w:vAlign w:val="center"/>
            <w:shd w:fill="082B66"/>
          </w:tcPr>
          <w:p>
            <w:pPr>
              <w:spacing w:after="0"/>
            </w:pPr>
            <w:r>
              <w:rPr>
                <w:rFonts w:ascii="Calibri" w:hAnsi="Calibri"/>
                <w:b/>
                <w:color w:val="FFFFFF"/>
                <w:sz w:val="16"/>
              </w:rPr>
              <w:t>DÍA / PASO</w:t>
            </w:r>
          </w:p>
        </w:tc>
        <w:tc>
          <w:tcPr>
            <w:tcW w:type="dxa" w:w="3600"/>
            <w:tcMar>
              <w:top w:w="80" w:type="dxa"/>
              <w:start w:w="120" w:type="dxa"/>
              <w:bottom w:w="80" w:type="dxa"/>
              <w:end w:w="120" w:type="dxa"/>
            </w:tcMar>
            <w:vAlign w:val="center"/>
            <w:shd w:fill="082B66"/>
          </w:tcPr>
          <w:p>
            <w:pPr>
              <w:spacing w:after="0"/>
            </w:pPr>
            <w:r>
              <w:rPr>
                <w:rFonts w:ascii="Calibri" w:hAnsi="Calibri"/>
                <w:b/>
                <w:color w:val="FFFFFF"/>
                <w:sz w:val="16"/>
              </w:rPr>
              <w:t>LECTURA</w:t>
            </w:r>
          </w:p>
        </w:tc>
        <w:tc>
          <w:tcPr>
            <w:tcW w:type="dxa" w:w="4360"/>
            <w:tcMar>
              <w:top w:w="80" w:type="dxa"/>
              <w:start w:w="120" w:type="dxa"/>
              <w:bottom w:w="80" w:type="dxa"/>
              <w:end w:w="120" w:type="dxa"/>
            </w:tcMar>
            <w:vAlign w:val="center"/>
            <w:shd w:fill="082B66"/>
          </w:tcPr>
          <w:p>
            <w:pPr>
              <w:spacing w:after="0"/>
            </w:pPr>
            <w:r>
              <w:rPr>
                <w:rFonts w:ascii="Calibri" w:hAnsi="Calibri"/>
                <w:b/>
                <w:color w:val="FFFFFF"/>
                <w:sz w:val="16"/>
              </w:rPr>
              <w:t>OBJETIVO</w:t>
            </w:r>
          </w:p>
        </w:tc>
      </w:tr>
      <w:tr>
        <w:trPr>
          <w:cantSplit/>
        </w:trPr>
        <w:tc>
          <w:tcPr>
            <w:tcW w:type="dxa" w:w="1400"/>
          </w:tcPr>
          <w:p>
            <w:pPr>
              <w:spacing w:after="0" w:line="252" w:lineRule="auto"/>
            </w:pPr>
            <w:r>
              <w:rPr>
                <w:rFonts w:ascii="Calibri" w:hAnsi="Calibri"/>
                <w:color w:val="13233A"/>
                <w:sz w:val="18"/>
              </w:rPr>
              <w:t>1</w:t>
            </w:r>
          </w:p>
        </w:tc>
        <w:tc>
          <w:tcPr>
            <w:tcW w:type="dxa" w:w="3600"/>
          </w:tcPr>
          <w:p>
            <w:pPr>
              <w:spacing w:after="0" w:line="252" w:lineRule="auto"/>
            </w:pPr>
            <w:r>
              <w:rPr>
                <w:rFonts w:ascii="Calibri" w:hAnsi="Calibri"/>
                <w:color w:val="13233A"/>
                <w:sz w:val="18"/>
              </w:rPr>
              <w:t>App.tsx, MainLayout.tsx e InicioView.tsx</w:t>
            </w:r>
          </w:p>
        </w:tc>
        <w:tc>
          <w:tcPr>
            <w:tcW w:type="dxa" w:w="4360"/>
          </w:tcPr>
          <w:p>
            <w:pPr>
              <w:spacing w:after="0" w:line="252" w:lineRule="auto"/>
            </w:pPr>
            <w:r>
              <w:rPr>
                <w:rFonts w:ascii="Calibri" w:hAnsi="Calibri"/>
                <w:color w:val="13233A"/>
                <w:sz w:val="18"/>
              </w:rPr>
              <w:t>Entender sesión, sede y navegación.</w:t>
            </w:r>
          </w:p>
        </w:tc>
      </w:tr>
      <w:tr>
        <w:trPr>
          <w:cantSplit/>
        </w:trPr>
        <w:tc>
          <w:tcPr>
            <w:tcW w:type="dxa" w:w="1400"/>
          </w:tcPr>
          <w:p>
            <w:pPr>
              <w:spacing w:after="0" w:line="252" w:lineRule="auto"/>
            </w:pPr>
            <w:r>
              <w:rPr>
                <w:rFonts w:ascii="Calibri" w:hAnsi="Calibri"/>
                <w:color w:val="13233A"/>
                <w:sz w:val="18"/>
              </w:rPr>
              <w:t>2</w:t>
            </w:r>
          </w:p>
        </w:tc>
        <w:tc>
          <w:tcPr>
            <w:tcW w:type="dxa" w:w="3600"/>
          </w:tcPr>
          <w:p>
            <w:pPr>
              <w:spacing w:after="0" w:line="252" w:lineRule="auto"/>
            </w:pPr>
            <w:r>
              <w:rPr>
                <w:rFonts w:ascii="Calibri" w:hAnsi="Calibri"/>
                <w:color w:val="13233A"/>
                <w:sz w:val="18"/>
              </w:rPr>
              <w:t>NuevoCertificadoView y sus Steps</w:t>
            </w:r>
          </w:p>
        </w:tc>
        <w:tc>
          <w:tcPr>
            <w:tcW w:type="dxa" w:w="4360"/>
          </w:tcPr>
          <w:p>
            <w:pPr>
              <w:spacing w:after="0" w:line="252" w:lineRule="auto"/>
            </w:pPr>
            <w:r>
              <w:rPr>
                <w:rFonts w:ascii="Calibri" w:hAnsi="Calibri"/>
                <w:color w:val="13233A"/>
                <w:sz w:val="18"/>
              </w:rPr>
              <w:t>Comprender el estado y orden del expediente.</w:t>
            </w:r>
          </w:p>
        </w:tc>
      </w:tr>
      <w:tr>
        <w:trPr>
          <w:cantSplit/>
        </w:trPr>
        <w:tc>
          <w:tcPr>
            <w:tcW w:type="dxa" w:w="1400"/>
          </w:tcPr>
          <w:p>
            <w:pPr>
              <w:spacing w:after="0" w:line="252" w:lineRule="auto"/>
            </w:pPr>
            <w:r>
              <w:rPr>
                <w:rFonts w:ascii="Calibri" w:hAnsi="Calibri"/>
                <w:color w:val="13233A"/>
                <w:sz w:val="18"/>
              </w:rPr>
              <w:t>3</w:t>
            </w:r>
          </w:p>
        </w:tc>
        <w:tc>
          <w:tcPr>
            <w:tcW w:type="dxa" w:w="3600"/>
          </w:tcPr>
          <w:p>
            <w:pPr>
              <w:spacing w:after="0" w:line="252" w:lineRule="auto"/>
            </w:pPr>
            <w:r>
              <w:rPr>
                <w:rFonts w:ascii="Calibri" w:hAnsi="Calibri"/>
                <w:color w:val="13233A"/>
                <w:sz w:val="18"/>
              </w:rPr>
              <w:t>faregas-http-client + *.api.ts</w:t>
            </w:r>
          </w:p>
        </w:tc>
        <w:tc>
          <w:tcPr>
            <w:tcW w:type="dxa" w:w="4360"/>
          </w:tcPr>
          <w:p>
            <w:pPr>
              <w:spacing w:after="0" w:line="252" w:lineRule="auto"/>
            </w:pPr>
            <w:r>
              <w:rPr>
                <w:rFonts w:ascii="Calibri" w:hAnsi="Calibri"/>
                <w:color w:val="13233A"/>
                <w:sz w:val="18"/>
              </w:rPr>
              <w:t>Reconocer los contratos usados por las pantallas.</w:t>
            </w:r>
          </w:p>
        </w:tc>
      </w:tr>
      <w:tr>
        <w:trPr>
          <w:cantSplit/>
        </w:trPr>
        <w:tc>
          <w:tcPr>
            <w:tcW w:type="dxa" w:w="1400"/>
          </w:tcPr>
          <w:p>
            <w:pPr>
              <w:spacing w:after="0" w:line="252" w:lineRule="auto"/>
            </w:pPr>
            <w:r>
              <w:rPr>
                <w:rFonts w:ascii="Calibri" w:hAnsi="Calibri"/>
                <w:color w:val="13233A"/>
                <w:sz w:val="18"/>
              </w:rPr>
              <w:t>4</w:t>
            </w:r>
          </w:p>
        </w:tc>
        <w:tc>
          <w:tcPr>
            <w:tcW w:type="dxa" w:w="3600"/>
          </w:tcPr>
          <w:p>
            <w:pPr>
              <w:spacing w:after="0" w:line="252" w:lineRule="auto"/>
            </w:pPr>
            <w:r>
              <w:rPr>
                <w:rFonts w:ascii="Calibri" w:hAnsi="Calibri"/>
                <w:color w:val="13233A"/>
                <w:sz w:val="18"/>
              </w:rPr>
              <w:t>faregas.routes y rutas específicas</w:t>
            </w:r>
          </w:p>
        </w:tc>
        <w:tc>
          <w:tcPr>
            <w:tcW w:type="dxa" w:w="4360"/>
          </w:tcPr>
          <w:p>
            <w:pPr>
              <w:spacing w:after="0" w:line="252" w:lineRule="auto"/>
            </w:pPr>
            <w:r>
              <w:rPr>
                <w:rFonts w:ascii="Calibri" w:hAnsi="Calibri"/>
                <w:color w:val="13233A"/>
                <w:sz w:val="18"/>
              </w:rPr>
              <w:t>Ubicar endpoints y middleware.</w:t>
            </w:r>
          </w:p>
        </w:tc>
      </w:tr>
      <w:tr>
        <w:trPr>
          <w:cantSplit/>
        </w:trPr>
        <w:tc>
          <w:tcPr>
            <w:tcW w:type="dxa" w:w="1400"/>
          </w:tcPr>
          <w:p>
            <w:pPr>
              <w:spacing w:after="0" w:line="252" w:lineRule="auto"/>
            </w:pPr>
            <w:r>
              <w:rPr>
                <w:rFonts w:ascii="Calibri" w:hAnsi="Calibri"/>
                <w:color w:val="13233A"/>
                <w:sz w:val="18"/>
              </w:rPr>
              <w:t>5</w:t>
            </w:r>
          </w:p>
        </w:tc>
        <w:tc>
          <w:tcPr>
            <w:tcW w:type="dxa" w:w="3600"/>
          </w:tcPr>
          <w:p>
            <w:pPr>
              <w:spacing w:after="0" w:line="252" w:lineRule="auto"/>
            </w:pPr>
            <w:r>
              <w:rPr>
                <w:rFonts w:ascii="Calibri" w:hAnsi="Calibri"/>
                <w:color w:val="13233A"/>
                <w:sz w:val="18"/>
              </w:rPr>
              <w:t>controllers + services</w:t>
            </w:r>
          </w:p>
        </w:tc>
        <w:tc>
          <w:tcPr>
            <w:tcW w:type="dxa" w:w="4360"/>
          </w:tcPr>
          <w:p>
            <w:pPr>
              <w:spacing w:after="0" w:line="252" w:lineRule="auto"/>
            </w:pPr>
            <w:r>
              <w:rPr>
                <w:rFonts w:ascii="Calibri" w:hAnsi="Calibri"/>
                <w:color w:val="13233A"/>
                <w:sz w:val="18"/>
              </w:rPr>
              <w:t>Seguir reglas y transacciones del dominio.</w:t>
            </w:r>
          </w:p>
        </w:tc>
      </w:tr>
      <w:tr>
        <w:trPr>
          <w:cantSplit/>
        </w:trPr>
        <w:tc>
          <w:tcPr>
            <w:tcW w:type="dxa" w:w="1400"/>
          </w:tcPr>
          <w:p>
            <w:pPr>
              <w:spacing w:after="0" w:line="252" w:lineRule="auto"/>
            </w:pPr>
            <w:r>
              <w:rPr>
                <w:rFonts w:ascii="Calibri" w:hAnsi="Calibri"/>
                <w:color w:val="13233A"/>
                <w:sz w:val="18"/>
              </w:rPr>
              <w:t>6</w:t>
            </w:r>
          </w:p>
        </w:tc>
        <w:tc>
          <w:tcPr>
            <w:tcW w:type="dxa" w:w="3600"/>
          </w:tcPr>
          <w:p>
            <w:pPr>
              <w:spacing w:after="0" w:line="252" w:lineRule="auto"/>
            </w:pPr>
            <w:r>
              <w:rPr>
                <w:rFonts w:ascii="Calibri" w:hAnsi="Calibri"/>
                <w:color w:val="13233A"/>
                <w:sz w:val="18"/>
              </w:rPr>
              <w:t>migrations + documento 03/04</w:t>
            </w:r>
          </w:p>
        </w:tc>
        <w:tc>
          <w:tcPr>
            <w:tcW w:type="dxa" w:w="4360"/>
          </w:tcPr>
          <w:p>
            <w:pPr>
              <w:spacing w:after="0" w:line="252" w:lineRule="auto"/>
            </w:pPr>
            <w:r>
              <w:rPr>
                <w:rFonts w:ascii="Calibri" w:hAnsi="Calibri"/>
                <w:color w:val="13233A"/>
                <w:sz w:val="18"/>
              </w:rPr>
              <w:t>Comprender esquema y reconstrucción.</w:t>
            </w:r>
          </w:p>
        </w:tc>
      </w:tr>
      <w:tr>
        <w:trPr>
          <w:cantSplit/>
        </w:trPr>
        <w:tc>
          <w:tcPr>
            <w:tcW w:type="dxa" w:w="1400"/>
          </w:tcPr>
          <w:p>
            <w:pPr>
              <w:spacing w:after="0" w:line="252" w:lineRule="auto"/>
            </w:pPr>
            <w:r>
              <w:rPr>
                <w:rFonts w:ascii="Calibri" w:hAnsi="Calibri"/>
                <w:color w:val="13233A"/>
                <w:sz w:val="18"/>
              </w:rPr>
              <w:t>7</w:t>
            </w:r>
          </w:p>
        </w:tc>
        <w:tc>
          <w:tcPr>
            <w:tcW w:type="dxa" w:w="3600"/>
          </w:tcPr>
          <w:p>
            <w:pPr>
              <w:spacing w:after="0" w:line="252" w:lineRule="auto"/>
            </w:pPr>
            <w:r>
              <w:rPr>
                <w:rFonts w:ascii="Calibri" w:hAnsi="Calibri"/>
                <w:color w:val="13233A"/>
                <w:sz w:val="18"/>
              </w:rPr>
              <w:t>templates + PDFs</w:t>
            </w:r>
          </w:p>
        </w:tc>
        <w:tc>
          <w:tcPr>
            <w:tcW w:type="dxa" w:w="4360"/>
          </w:tcPr>
          <w:p>
            <w:pPr>
              <w:spacing w:after="0" w:line="252" w:lineRule="auto"/>
            </w:pPr>
            <w:r>
              <w:rPr>
                <w:rFonts w:ascii="Calibri" w:hAnsi="Calibri"/>
                <w:color w:val="13233A"/>
                <w:sz w:val="18"/>
              </w:rPr>
              <w:t>Validar salida de los cinco certificados.</w:t>
            </w:r>
          </w:p>
        </w:tc>
      </w:tr>
    </w:tbl>
    <w:p>
      <w:pPr>
        <w:spacing w:after="0"/>
      </w:pPr>
    </w:p>
    <w:tbl>
      <w:tblPr>
        <w:tblW w:type="dxa" w:w="9360"/>
        <w:jc w:val="left"/>
        <w:tblLayout w:type="fixed"/>
        <w:tblLook w:firstColumn="1" w:firstRow="1" w:lastColumn="0" w:lastRow="0" w:noHBand="0" w:noVBand="1" w:val="04A0"/>
        <w:tblInd w:w="120" w:type="dxa"/>
        <w:tblBorders>
          <w:top w:val="single" w:sz="8" w:color="177245"/>
          <w:left w:val="single" w:sz="8" w:color="177245"/>
          <w:bottom w:val="single" w:sz="8" w:color="177245"/>
          <w:right w:val="single" w:sz="8" w:color="177245"/>
          <w:insideH w:val="single" w:sz="8" w:color="177245"/>
          <w:insideV w:val="single" w:sz="8" w:color="177245"/>
        </w:tblBorders>
      </w:tblPr>
      <w:tblGrid>
        <w:gridCol w:w="9360"/>
      </w:tblGrid>
      <w:tr>
        <w:tc>
          <w:tcPr>
            <w:tcW w:type="dxa" w:w="9360"/>
            <w:tcMar>
              <w:top w:w="80" w:type="dxa"/>
              <w:start w:w="120" w:type="dxa"/>
              <w:bottom w:w="80" w:type="dxa"/>
              <w:end w:w="120" w:type="dxa"/>
            </w:tcMar>
            <w:vAlign w:val="center"/>
            <w:shd w:fill="EAF7F0"/>
          </w:tcPr>
          <w:p>
            <w:pPr>
              <w:spacing w:after="60"/>
            </w:pPr>
            <w:r>
              <w:rPr>
                <w:rFonts w:ascii="Calibri" w:hAnsi="Calibri"/>
                <w:b/>
                <w:color w:val="177245"/>
                <w:sz w:val="21"/>
              </w:rPr>
              <w:t>Inventario verificado</w:t>
            </w:r>
          </w:p>
          <w:p>
            <w:pPr>
              <w:spacing w:after="0" w:line="288" w:lineRule="auto"/>
            </w:pPr>
            <w:r>
              <w:rPr>
                <w:rFonts w:ascii="Calibri" w:hAnsi="Calibri"/>
                <w:color w:val="13233A"/>
                <w:sz w:val="20"/>
              </w:rPr>
              <w:t>Esta edición registra 54 archivos frontend y 97 archivos backend dentro de los módulos FAREGAS. Si el total cambia, regenere este documento para mantener el árbol y el diccionario sincronizados.</w:t>
            </w:r>
          </w:p>
        </w:tc>
      </w:tr>
    </w:tbl>
    <w:p>
      <w:pPr>
        <w:spacing w:after="0"/>
      </w:pPr>
    </w:p>
    <w:p>
      <w:pPr>
        <w:pStyle w:val="Heading2"/>
      </w:pPr>
      <w:r>
        <w:t>7.1 Relación con los otros documentos</w:t>
      </w:r>
    </w:p>
    <w:tbl>
      <w:tblPr>
        <w:tblW w:type="dxa" w:w="9360"/>
        <w:jc w:val="left"/>
        <w:tblLayout w:type="fixed"/>
        <w:tblLook w:firstColumn="1" w:firstRow="1" w:lastColumn="0" w:lastRow="0" w:noHBand="0" w:noVBand="1" w:val="04A0"/>
        <w:tblInd w:w="120" w:type="dxa"/>
        <w:tblBorders>
          <w:top w:val="single" w:sz="5" w:color="C9D4E2"/>
          <w:left w:val="single" w:sz="5" w:color="C9D4E2"/>
          <w:bottom w:val="single" w:sz="5" w:color="C9D4E2"/>
          <w:right w:val="single" w:sz="5" w:color="C9D4E2"/>
          <w:insideH w:val="single" w:sz="5" w:color="C9D4E2"/>
          <w:insideV w:val="single" w:sz="5" w:color="C9D4E2"/>
        </w:tblBorders>
      </w:tblPr>
      <w:tblGrid>
        <w:gridCol w:w="3500"/>
        <w:gridCol w:w="5860"/>
      </w:tblGrid>
      <w:tr>
        <w:trPr>
          <w:tblHeader w:val="true"/>
        </w:trPr>
        <w:tc>
          <w:tcPr>
            <w:tcW w:type="dxa" w:w="3500"/>
            <w:tcMar>
              <w:top w:w="80" w:type="dxa"/>
              <w:start w:w="120" w:type="dxa"/>
              <w:bottom w:w="80" w:type="dxa"/>
              <w:end w:w="120" w:type="dxa"/>
            </w:tcMar>
            <w:vAlign w:val="center"/>
            <w:shd w:fill="082B66"/>
          </w:tcPr>
          <w:p>
            <w:pPr>
              <w:spacing w:after="0"/>
            </w:pPr>
            <w:r>
              <w:rPr>
                <w:rFonts w:ascii="Calibri" w:hAnsi="Calibri"/>
                <w:b/>
                <w:color w:val="FFFFFF"/>
                <w:sz w:val="16"/>
              </w:rPr>
              <w:t>DOCUMENTO</w:t>
            </w:r>
          </w:p>
        </w:tc>
        <w:tc>
          <w:tcPr>
            <w:tcW w:type="dxa" w:w="5860"/>
            <w:tcMar>
              <w:top w:w="80" w:type="dxa"/>
              <w:start w:w="120" w:type="dxa"/>
              <w:bottom w:w="80" w:type="dxa"/>
              <w:end w:w="120" w:type="dxa"/>
            </w:tcMar>
            <w:vAlign w:val="center"/>
            <w:shd w:fill="082B66"/>
          </w:tcPr>
          <w:p>
            <w:pPr>
              <w:spacing w:after="0"/>
            </w:pPr>
            <w:r>
              <w:rPr>
                <w:rFonts w:ascii="Calibri" w:hAnsi="Calibri"/>
                <w:b/>
                <w:color w:val="FFFFFF"/>
                <w:sz w:val="16"/>
              </w:rPr>
              <w:t>RESPONDE</w:t>
            </w:r>
          </w:p>
        </w:tc>
      </w:tr>
      <w:tr>
        <w:trPr>
          <w:cantSplit/>
        </w:trPr>
        <w:tc>
          <w:tcPr>
            <w:tcW w:type="dxa" w:w="3500"/>
          </w:tcPr>
          <w:p>
            <w:pPr>
              <w:spacing w:after="0" w:line="252" w:lineRule="auto"/>
            </w:pPr>
            <w:r>
              <w:rPr>
                <w:rFonts w:ascii="Calibri" w:hAnsi="Calibri"/>
                <w:color w:val="13233A"/>
                <w:sz w:val="18"/>
              </w:rPr>
              <w:t>00 Guía de lectura y estado</w:t>
            </w:r>
          </w:p>
        </w:tc>
        <w:tc>
          <w:tcPr>
            <w:tcW w:type="dxa" w:w="5860"/>
          </w:tcPr>
          <w:p>
            <w:pPr>
              <w:spacing w:after="0" w:line="252" w:lineRule="auto"/>
            </w:pPr>
            <w:r>
              <w:rPr>
                <w:rFonts w:ascii="Calibri" w:hAnsi="Calibri"/>
                <w:color w:val="13233A"/>
                <w:sz w:val="18"/>
              </w:rPr>
              <w:t>Qué está completo, pendiente y cómo leer la suite.</w:t>
            </w:r>
          </w:p>
        </w:tc>
      </w:tr>
      <w:tr>
        <w:trPr>
          <w:cantSplit/>
        </w:trPr>
        <w:tc>
          <w:tcPr>
            <w:tcW w:type="dxa" w:w="3500"/>
          </w:tcPr>
          <w:p>
            <w:pPr>
              <w:spacing w:after="0" w:line="252" w:lineRule="auto"/>
            </w:pPr>
            <w:r>
              <w:rPr>
                <w:rFonts w:ascii="Calibri" w:hAnsi="Calibri"/>
                <w:color w:val="13233A"/>
                <w:sz w:val="18"/>
              </w:rPr>
              <w:t>01 Manual funcional</w:t>
            </w:r>
          </w:p>
        </w:tc>
        <w:tc>
          <w:tcPr>
            <w:tcW w:type="dxa" w:w="5860"/>
          </w:tcPr>
          <w:p>
            <w:pPr>
              <w:spacing w:after="0" w:line="252" w:lineRule="auto"/>
            </w:pPr>
            <w:r>
              <w:rPr>
                <w:rFonts w:ascii="Calibri" w:hAnsi="Calibri"/>
                <w:color w:val="13233A"/>
                <w:sz w:val="18"/>
              </w:rPr>
              <w:t>Cómo opera el usuario paso a paso.</w:t>
            </w:r>
          </w:p>
        </w:tc>
      </w:tr>
      <w:tr>
        <w:trPr>
          <w:cantSplit/>
        </w:trPr>
        <w:tc>
          <w:tcPr>
            <w:tcW w:type="dxa" w:w="3500"/>
          </w:tcPr>
          <w:p>
            <w:pPr>
              <w:spacing w:after="0" w:line="252" w:lineRule="auto"/>
            </w:pPr>
            <w:r>
              <w:rPr>
                <w:rFonts w:ascii="Calibri" w:hAnsi="Calibri"/>
                <w:color w:val="13233A"/>
                <w:sz w:val="18"/>
              </w:rPr>
              <w:t>02 Arquitectura, APIs y frontend</w:t>
            </w:r>
          </w:p>
        </w:tc>
        <w:tc>
          <w:tcPr>
            <w:tcW w:type="dxa" w:w="5860"/>
          </w:tcPr>
          <w:p>
            <w:pPr>
              <w:spacing w:after="0" w:line="252" w:lineRule="auto"/>
            </w:pPr>
            <w:r>
              <w:rPr>
                <w:rFonts w:ascii="Calibri" w:hAnsi="Calibri"/>
                <w:color w:val="13233A"/>
                <w:sz w:val="18"/>
              </w:rPr>
              <w:t>Qué endpoints existen y cómo modifican las pantallas.</w:t>
            </w:r>
          </w:p>
        </w:tc>
      </w:tr>
      <w:tr>
        <w:trPr>
          <w:cantSplit/>
        </w:trPr>
        <w:tc>
          <w:tcPr>
            <w:tcW w:type="dxa" w:w="3500"/>
          </w:tcPr>
          <w:p>
            <w:pPr>
              <w:spacing w:after="0" w:line="252" w:lineRule="auto"/>
            </w:pPr>
            <w:r>
              <w:rPr>
                <w:rFonts w:ascii="Calibri" w:hAnsi="Calibri"/>
                <w:color w:val="13233A"/>
                <w:sz w:val="18"/>
              </w:rPr>
              <w:t>03 Base de datos</w:t>
            </w:r>
          </w:p>
        </w:tc>
        <w:tc>
          <w:tcPr>
            <w:tcW w:type="dxa" w:w="5860"/>
          </w:tcPr>
          <w:p>
            <w:pPr>
              <w:spacing w:after="0" w:line="252" w:lineRule="auto"/>
            </w:pPr>
            <w:r>
              <w:rPr>
                <w:rFonts w:ascii="Calibri" w:hAnsi="Calibri"/>
                <w:color w:val="13233A"/>
                <w:sz w:val="18"/>
              </w:rPr>
              <w:t>Qué significa cada tabla/columna y cómo se relaciona.</w:t>
            </w:r>
          </w:p>
        </w:tc>
      </w:tr>
      <w:tr>
        <w:trPr>
          <w:cantSplit/>
        </w:trPr>
        <w:tc>
          <w:tcPr>
            <w:tcW w:type="dxa" w:w="3500"/>
          </w:tcPr>
          <w:p>
            <w:pPr>
              <w:spacing w:after="0" w:line="252" w:lineRule="auto"/>
            </w:pPr>
            <w:r>
              <w:rPr>
                <w:rFonts w:ascii="Calibri" w:hAnsi="Calibri"/>
                <w:color w:val="13233A"/>
                <w:sz w:val="18"/>
              </w:rPr>
              <w:t>04 Scripts</w:t>
            </w:r>
          </w:p>
        </w:tc>
        <w:tc>
          <w:tcPr>
            <w:tcW w:type="dxa" w:w="5860"/>
          </w:tcPr>
          <w:p>
            <w:pPr>
              <w:spacing w:after="0" w:line="252" w:lineRule="auto"/>
            </w:pPr>
            <w:r>
              <w:rPr>
                <w:rFonts w:ascii="Calibri" w:hAnsi="Calibri"/>
                <w:color w:val="13233A"/>
                <w:sz w:val="18"/>
              </w:rPr>
              <w:t>Cómo reconstruir y operar la base de datos.</w:t>
            </w:r>
          </w:p>
        </w:tc>
      </w:tr>
      <w:tr>
        <w:trPr>
          <w:cantSplit/>
        </w:trPr>
        <w:tc>
          <w:tcPr>
            <w:tcW w:type="dxa" w:w="3500"/>
          </w:tcPr>
          <w:p>
            <w:pPr>
              <w:spacing w:after="0" w:line="252" w:lineRule="auto"/>
            </w:pPr>
            <w:r>
              <w:rPr>
                <w:rFonts w:ascii="Calibri" w:hAnsi="Calibri"/>
                <w:color w:val="13233A"/>
                <w:sz w:val="18"/>
              </w:rPr>
              <w:t>05 Arquitectura de archivos</w:t>
            </w:r>
          </w:p>
        </w:tc>
        <w:tc>
          <w:tcPr>
            <w:tcW w:type="dxa" w:w="5860"/>
          </w:tcPr>
          <w:p>
            <w:pPr>
              <w:spacing w:after="0" w:line="252" w:lineRule="auto"/>
            </w:pPr>
            <w:r>
              <w:rPr>
                <w:rFonts w:ascii="Calibri" w:hAnsi="Calibri"/>
                <w:color w:val="13233A"/>
                <w:sz w:val="18"/>
              </w:rPr>
              <w:t>Dónde vive cada responsabilidad en frontend y backend.</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D6B7E"/>
        <w:sz w:val="17"/>
      </w:rPr>
      <w:t xml:space="preserve">Documento técnico 05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5" w:color="F4A300"/>
      </w:pBdr>
    </w:pPr>
    <w:r>
      <w:rPr>
        <w:rFonts w:ascii="Calibri" w:hAnsi="Calibri"/>
        <w:b/>
        <w:color w:val="5D6B7E"/>
        <w:sz w:val="17"/>
      </w:rPr>
      <w:t>FAREGAS  ·  ARQUITECTURA DE ARCHIVOS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32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A3D91"/>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A3D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82B6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