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b629276c6a6900a476d7d56cf12075fafd3e338"/>
    <w:p>
      <w:pPr>
        <w:pStyle w:val="Heading1"/>
      </w:pPr>
      <w:r>
        <w:t xml:space="preserve">Manual del Módulo de Administración Clásica (</w:t>
      </w:r>
      <w:r>
        <w:rPr>
          <w:rStyle w:val="VerbatimChar"/>
        </w:rPr>
        <w:t xml:space="preserve">/administracion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 — Octubre 2026</w:t>
      </w:r>
      <w:r>
        <w:t xml:space="preserve"> </w:t>
      </w:r>
      <w:r>
        <w:rPr>
          <w:b/>
          <w:bCs/>
        </w:rPr>
        <w:t xml:space="preserve">Audiencia:</w:t>
      </w:r>
      <w:r>
        <w:t xml:space="preserve"> </w:t>
      </w:r>
      <w:r>
        <w:t xml:space="preserve">TILOGIST, ADLOGIST (acceso con login adicional)</w:t>
      </w:r>
    </w:p>
    <w:p>
      <w:r>
        <w:pict>
          <v:rect style="width:0;height:1.5pt" o:hralign="center" o:hrstd="t" o:hr="t"/>
        </w:pict>
      </w:r>
    </w:p>
    <w:bookmarkStart w:id="9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d36558a258836f4c14f6f250e94780c578eb04a">
        <w:r>
          <w:rPr>
            <w:rStyle w:val="Hyperlink"/>
          </w:rPr>
          <w:t xml:space="preserve">Acceso</w:t>
        </w:r>
      </w:hyperlink>
    </w:p>
    <w:p>
      <w:pPr>
        <w:pStyle w:val="Compact"/>
        <w:numPr>
          <w:ilvl w:val="0"/>
          <w:numId w:val="1001"/>
        </w:numPr>
      </w:pPr>
      <w:hyperlink w:anchor="Xbefa866af1125b7759f13df3c72a221bfa60fe4">
        <w:r>
          <w:rPr>
            <w:rStyle w:val="Hyperlink"/>
          </w:rPr>
          <w:t xml:space="preserve">Panel y usuarios</w:t>
        </w:r>
      </w:hyperlink>
    </w:p>
    <w:p>
      <w:pPr>
        <w:pStyle w:val="Compact"/>
        <w:numPr>
          <w:ilvl w:val="0"/>
          <w:numId w:val="1001"/>
        </w:numPr>
      </w:pPr>
      <w:hyperlink w:anchor="X2d703d0c5d1cf47b4784e696c16bd93145a0dcc">
        <w:r>
          <w:rPr>
            <w:rStyle w:val="Hyperlink"/>
          </w:rPr>
          <w:t xml:space="preserve">Estructura organizacional</w:t>
        </w:r>
      </w:hyperlink>
    </w:p>
    <w:p>
      <w:pPr>
        <w:pStyle w:val="Compact"/>
        <w:numPr>
          <w:ilvl w:val="0"/>
          <w:numId w:val="1001"/>
        </w:numPr>
      </w:pPr>
      <w:hyperlink w:anchor="Xadf96076a97ebd0a00943c7a8045329810f860b">
        <w:r>
          <w:rPr>
            <w:rStyle w:val="Hyperlink"/>
          </w:rPr>
          <w:t xml:space="preserve">Aprobaciones y flujos</w:t>
        </w:r>
      </w:hyperlink>
    </w:p>
    <w:p>
      <w:pPr>
        <w:pStyle w:val="Compact"/>
        <w:numPr>
          <w:ilvl w:val="0"/>
          <w:numId w:val="1001"/>
        </w:numPr>
      </w:pPr>
      <w:hyperlink w:anchor="Xf39e54bee93e2dd63535ca2aad2637968728dfb">
        <w:r>
          <w:rPr>
            <w:rStyle w:val="Hyperlink"/>
          </w:rPr>
          <w:t xml:space="preserve">Correo y plantillas</w:t>
        </w:r>
      </w:hyperlink>
    </w:p>
    <w:p>
      <w:pPr>
        <w:pStyle w:val="Compact"/>
        <w:numPr>
          <w:ilvl w:val="0"/>
          <w:numId w:val="1001"/>
        </w:numPr>
      </w:pPr>
      <w:hyperlink w:anchor="Xf50674023fb67f6930fa596b1ca4de4aaa2110c">
        <w:r>
          <w:rPr>
            <w:rStyle w:val="Hyperlink"/>
          </w:rPr>
          <w:t xml:space="preserve">Apariencia y branding</w:t>
        </w:r>
      </w:hyperlink>
    </w:p>
    <w:p>
      <w:pPr>
        <w:pStyle w:val="Compact"/>
        <w:numPr>
          <w:ilvl w:val="0"/>
          <w:numId w:val="1001"/>
        </w:numPr>
      </w:pPr>
      <w:hyperlink w:anchor="Xe2658d985e587c815844de49217a80e3b0401a5">
        <w:r>
          <w:rPr>
            <w:rStyle w:val="Hyperlink"/>
          </w:rPr>
          <w:t xml:space="preserve">Permisos y menús</w:t>
        </w:r>
      </w:hyperlink>
    </w:p>
    <w:p>
      <w:pPr>
        <w:pStyle w:val="Compact"/>
        <w:numPr>
          <w:ilvl w:val="0"/>
          <w:numId w:val="1001"/>
        </w:numPr>
      </w:pPr>
      <w:hyperlink w:anchor="X24ae486210ad2e57491b1e1e094adb166ec84f8">
        <w:r>
          <w:rPr>
            <w:rStyle w:val="Hyperlink"/>
          </w:rPr>
          <w:t xml:space="preserve">Empresas y sincronización</w:t>
        </w:r>
      </w:hyperlink>
    </w:p>
    <w:p>
      <w:pPr>
        <w:pStyle w:val="Compact"/>
        <w:numPr>
          <w:ilvl w:val="0"/>
          <w:numId w:val="1001"/>
        </w:numPr>
      </w:pPr>
      <w:hyperlink w:anchor="Xd91006588856d62a33e015df97c0d18ecb17bd5">
        <w:r>
          <w:rPr>
            <w:rStyle w:val="Hyperlink"/>
          </w:rPr>
          <w:t xml:space="preserve">Diferencias con la consola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/admin-logistica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acceso"/>
    <w:p>
      <w:pPr>
        <w:pStyle w:val="Heading2"/>
      </w:pPr>
      <w:r>
        <w:t xml:space="preserve">1. Acceso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/admin-login</w:t>
            </w:r>
            <w:r>
              <w:t xml:space="preserve"> </w:t>
            </w:r>
            <w:r>
              <w:t xml:space="preserve">→ genera</w:t>
            </w:r>
            <w:r>
              <w:t xml:space="preserve"> </w:t>
            </w:r>
            <w:r>
              <w:rPr>
                <w:rStyle w:val="VerbatimChar"/>
              </w:rPr>
              <w:t xml:space="preserve">ADMIN_TOKEN</w:t>
            </w:r>
            <w:r>
              <w:t xml:space="preserve"> </w:t>
            </w:r>
            <w:r>
              <w:t xml:space="preserve">en 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/administracion</w:t>
            </w:r>
            <w:r>
              <w:t xml:space="preserve"> </w:t>
            </w:r>
            <w:r>
              <w:t xml:space="preserve">(lazy module,</w:t>
            </w:r>
            <w:r>
              <w:t xml:space="preserve"> </w:t>
            </w:r>
            <w:r>
              <w:rPr>
                <w:rStyle w:val="VerbatimChar"/>
              </w:rPr>
              <w:t xml:space="preserve">AdminGuard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token</w:t>
            </w:r>
          </w:p>
        </w:tc>
        <w:tc>
          <w:tcPr/>
          <w:p>
            <w:pPr>
              <w:pStyle w:val="Compact"/>
            </w:pPr>
            <w:r>
              <w:t xml:space="preserve">Redirige a</w:t>
            </w:r>
            <w:r>
              <w:t xml:space="preserve"> </w:t>
            </w:r>
            <w:r>
              <w:rPr>
                <w:rStyle w:val="VerbatimChar"/>
              </w:rPr>
              <w:t xml:space="preserve">/admin-login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AdminLayoutComponent</w:t>
            </w:r>
            <w:r>
              <w:t xml:space="preserve"> </w:t>
            </w:r>
            <w:r>
              <w:t xml:space="preserve">con menú propio</w:t>
            </w:r>
          </w:p>
        </w:tc>
      </w:tr>
    </w:tbl>
    <w:p>
      <w:pPr>
        <w:pStyle w:val="BlockText"/>
      </w:pPr>
      <w:r>
        <w:t xml:space="preserve">A diferencia de la consola</w:t>
      </w:r>
      <w:r>
        <w:t xml:space="preserve"> </w:t>
      </w:r>
      <w:r>
        <w:rPr>
          <w:rStyle w:val="VerbatimChar"/>
        </w:rPr>
        <w:t xml:space="preserve">/admin-logistica</w:t>
      </w:r>
      <w:r>
        <w:t xml:space="preserve"> </w:t>
      </w:r>
      <w:r>
        <w:t xml:space="preserve">(que valida rol), aquí el control es el token de admin-login. En la práctica lo usan TILOGIST y ADLOGIST.</w:t>
      </w:r>
    </w:p>
    <w:bookmarkEnd w:id="10"/>
    <w:bookmarkStart w:id="15" w:name="panel-y-usuarios"/>
    <w:p>
      <w:pPr>
        <w:pStyle w:val="Heading2"/>
      </w:pPr>
      <w:r>
        <w:t xml:space="preserve">2. Panel y usuarios</w:t>
      </w:r>
    </w:p>
    <w:bookmarkStart w:id="11" w:name="dashboard-administraciondashboard"/>
    <w:p>
      <w:pPr>
        <w:pStyle w:val="Heading3"/>
      </w:pPr>
      <w:r>
        <w:t xml:space="preserve">2.1 Dashboard —</w:t>
      </w:r>
      <w:r>
        <w:t xml:space="preserve"> </w:t>
      </w:r>
      <w:r>
        <w:rPr>
          <w:rStyle w:val="VerbatimChar"/>
        </w:rPr>
        <w:t xml:space="preserve">/administracion/dashboard</w:t>
      </w:r>
    </w:p>
    <w:p>
      <w:pPr>
        <w:pStyle w:val="FirstParagraph"/>
      </w:pPr>
      <w:r>
        <w:t xml:space="preserve">Panel del módulo: resumen de usuarios, roles y configuración.</w:t>
      </w:r>
    </w:p>
    <w:bookmarkEnd w:id="11"/>
    <w:bookmarkStart w:id="12" w:name="usuarios-admin-usuarios"/>
    <w:p>
      <w:pPr>
        <w:pStyle w:val="Heading3"/>
      </w:pPr>
      <w:r>
        <w:t xml:space="preserve">2.2 Usuarios —</w:t>
      </w:r>
      <w:r>
        <w:t xml:space="preserve"> </w:t>
      </w:r>
      <w:r>
        <w:rPr>
          <w:rStyle w:val="VerbatimChar"/>
        </w:rPr>
        <w:t xml:space="preserve">admin-usuarios</w:t>
      </w:r>
    </w:p>
    <w:p>
      <w:pPr>
        <w:pStyle w:val="FirstParagraph"/>
      </w:pPr>
      <w:r>
        <w:t xml:space="preserve">CRUD de usuarios de la app: alta, edición, cambio de rol, activar/desactivar.</w:t>
      </w:r>
    </w:p>
    <w:p>
      <w:pPr>
        <w:pStyle w:val="Compact"/>
        <w:numPr>
          <w:ilvl w:val="0"/>
          <w:numId w:val="1002"/>
        </w:numPr>
      </w:pPr>
      <w:r>
        <w:t xml:space="preserve">Lista de usuarios → buscar por nombre/usuario.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Nuevo</w:t>
      </w:r>
      <w:r>
        <w:t xml:space="preserve"> </w:t>
      </w:r>
      <w:r>
        <w:t xml:space="preserve">o editar → datos +</w:t>
      </w:r>
      <w:r>
        <w:t xml:space="preserve"> </w:t>
      </w:r>
      <w:r>
        <w:rPr>
          <w:rStyle w:val="VerbatimChar"/>
        </w:rPr>
        <w:t xml:space="preserve">idrol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Guardar.</w:t>
      </w:r>
    </w:p>
    <w:bookmarkEnd w:id="12"/>
    <w:bookmarkStart w:id="13" w:name="roles-admin-roles"/>
    <w:p>
      <w:pPr>
        <w:pStyle w:val="Heading3"/>
      </w:pPr>
      <w:r>
        <w:t xml:space="preserve">2.3 Roles —</w:t>
      </w:r>
      <w:r>
        <w:t xml:space="preserve"> </w:t>
      </w:r>
      <w:r>
        <w:rPr>
          <w:rStyle w:val="VerbatimChar"/>
        </w:rPr>
        <w:t xml:space="preserve">admin-roles</w:t>
      </w:r>
    </w:p>
    <w:p>
      <w:pPr>
        <w:pStyle w:val="FirstParagraph"/>
      </w:pPr>
      <w:r>
        <w:t xml:space="preserve">Mantenedor del catálogo de roles (los</w:t>
      </w:r>
      <w:r>
        <w:t xml:space="preserve"> </w:t>
      </w:r>
      <w:r>
        <w:rPr>
          <w:rStyle w:val="VerbatimChar"/>
        </w:rPr>
        <w:t xml:space="preserve">idrol</w:t>
      </w:r>
      <w:r>
        <w:t xml:space="preserve"> </w:t>
      </w:r>
      <w:r>
        <w:t xml:space="preserve">disponibles para asignar).</w:t>
      </w:r>
    </w:p>
    <w:bookmarkEnd w:id="13"/>
    <w:bookmarkStart w:id="14" w:name="perfiles-admin-perfiles"/>
    <w:p>
      <w:pPr>
        <w:pStyle w:val="Heading3"/>
      </w:pPr>
      <w:r>
        <w:t xml:space="preserve">2.4 Perfiles —</w:t>
      </w:r>
      <w:r>
        <w:t xml:space="preserve"> </w:t>
      </w:r>
      <w:r>
        <w:rPr>
          <w:rStyle w:val="VerbatimChar"/>
        </w:rPr>
        <w:t xml:space="preserve">admin-perfiles</w:t>
      </w:r>
    </w:p>
    <w:p>
      <w:pPr>
        <w:pStyle w:val="FirstParagraph"/>
      </w:pPr>
      <w:r>
        <w:t xml:space="preserve">Perfiles de acceso (agrupaciones de permisos históricos del sistema).</w:t>
      </w:r>
    </w:p>
    <w:bookmarkEnd w:id="14"/>
    <w:bookmarkEnd w:id="15"/>
    <w:bookmarkStart w:id="18" w:name="estructura-organizacional"/>
    <w:p>
      <w:pPr>
        <w:pStyle w:val="Heading2"/>
      </w:pPr>
      <w:r>
        <w:t xml:space="preserve">3. Estructura organizacional</w:t>
      </w:r>
    </w:p>
    <w:bookmarkStart w:id="16" w:name="áreas-admin-areas"/>
    <w:p>
      <w:pPr>
        <w:pStyle w:val="Heading3"/>
      </w:pPr>
      <w:r>
        <w:t xml:space="preserve">3.1 Áreas —</w:t>
      </w:r>
      <w:r>
        <w:t xml:space="preserve"> </w:t>
      </w:r>
      <w:r>
        <w:rPr>
          <w:rStyle w:val="VerbatimChar"/>
        </w:rPr>
        <w:t xml:space="preserve">admin-areas</w:t>
      </w:r>
    </w:p>
    <w:p>
      <w:pPr>
        <w:pStyle w:val="FirstParagraph"/>
      </w:pPr>
      <w:r>
        <w:t xml:space="preserve">CRUD de áreas: nombre, empresa, estado.</w:t>
      </w:r>
    </w:p>
    <w:bookmarkEnd w:id="16"/>
    <w:bookmarkStart w:id="17" w:name="usuarios-por-área-usuarios-por-area"/>
    <w:p>
      <w:pPr>
        <w:pStyle w:val="Heading3"/>
      </w:pPr>
      <w:r>
        <w:t xml:space="preserve">3.2 Usuarios por Área —</w:t>
      </w:r>
      <w:r>
        <w:t xml:space="preserve"> </w:t>
      </w:r>
      <w:r>
        <w:rPr>
          <w:rStyle w:val="VerbatimChar"/>
        </w:rPr>
        <w:t xml:space="preserve">usuarios-por-area</w:t>
      </w:r>
    </w:p>
    <w:p>
      <w:pPr>
        <w:pStyle w:val="FirstParagraph"/>
      </w:pPr>
      <w:r>
        <w:t xml:space="preserve">Asignación usuario ↔ área. Es la base para que APLOGIST reciba solo los requerimientos de su área.</w:t>
      </w:r>
    </w:p>
    <w:p>
      <w:pPr>
        <w:pStyle w:val="Compact"/>
        <w:numPr>
          <w:ilvl w:val="0"/>
          <w:numId w:val="1003"/>
        </w:numPr>
      </w:pPr>
      <w:r>
        <w:t xml:space="preserve">Seleccionar área → ver usuarios asignados.</w:t>
      </w:r>
    </w:p>
    <w:p>
      <w:pPr>
        <w:pStyle w:val="Compact"/>
        <w:numPr>
          <w:ilvl w:val="0"/>
          <w:numId w:val="1003"/>
        </w:numPr>
      </w:pPr>
      <w:r>
        <w:t xml:space="preserve">Agregar/quitar usuarios → guardar.</w:t>
      </w:r>
    </w:p>
    <w:bookmarkEnd w:id="17"/>
    <w:bookmarkEnd w:id="18"/>
    <w:bookmarkStart w:id="21" w:name="aprobaciones-y-flujos"/>
    <w:p>
      <w:pPr>
        <w:pStyle w:val="Heading2"/>
      </w:pPr>
      <w:r>
        <w:t xml:space="preserve">4. Aprobaciones y flujos</w:t>
      </w:r>
    </w:p>
    <w:bookmarkStart w:id="19" w:name="flujos-admin-flujos"/>
    <w:p>
      <w:pPr>
        <w:pStyle w:val="Heading3"/>
      </w:pPr>
      <w:r>
        <w:t xml:space="preserve">4.1 Flujos —</w:t>
      </w:r>
      <w:r>
        <w:t xml:space="preserve"> </w:t>
      </w:r>
      <w:r>
        <w:rPr>
          <w:rStyle w:val="VerbatimChar"/>
        </w:rPr>
        <w:t xml:space="preserve">admin-flujos</w:t>
      </w:r>
    </w:p>
    <w:p>
      <w:pPr>
        <w:pStyle w:val="FirstParagraph"/>
      </w:pPr>
      <w:r>
        <w:t xml:space="preserve">Definición de flujos de aprobación (secuencia de niveles y aprobadores por tipo de documento).</w:t>
      </w:r>
    </w:p>
    <w:bookmarkEnd w:id="19"/>
    <w:bookmarkStart w:id="20" w:name="aprobadores-admin-aprobadores"/>
    <w:p>
      <w:pPr>
        <w:pStyle w:val="Heading3"/>
      </w:pPr>
      <w:r>
        <w:t xml:space="preserve">4.2 Aprobadores —</w:t>
      </w:r>
      <w:r>
        <w:t xml:space="preserve"> </w:t>
      </w:r>
      <w:r>
        <w:rPr>
          <w:rStyle w:val="VerbatimChar"/>
        </w:rPr>
        <w:t xml:space="preserve">admin-aprobadores</w:t>
      </w:r>
    </w:p>
    <w:p>
      <w:pPr>
        <w:pStyle w:val="FirstParagraph"/>
      </w:pPr>
      <w:r>
        <w:t xml:space="preserve">Mantenedor de aprobadores: quién aprueba en cada nivel del flujo.</w:t>
      </w:r>
    </w:p>
    <w:bookmarkEnd w:id="20"/>
    <w:bookmarkEnd w:id="21"/>
    <w:bookmarkStart w:id="26" w:name="correo-y-plantillas"/>
    <w:p>
      <w:pPr>
        <w:pStyle w:val="Heading2"/>
      </w:pPr>
      <w:r>
        <w:t xml:space="preserve">5. Correo y plantillas</w:t>
      </w:r>
    </w:p>
    <w:bookmarkStart w:id="22" w:name="X016d8f6d40904b9fa0a7e9a21ddbb4f7855ef58"/>
    <w:p>
      <w:pPr>
        <w:pStyle w:val="Heading3"/>
      </w:pPr>
      <w:r>
        <w:t xml:space="preserve">5.1 Proveedores Email —</w:t>
      </w:r>
      <w:r>
        <w:t xml:space="preserve"> </w:t>
      </w:r>
      <w:r>
        <w:rPr>
          <w:rStyle w:val="VerbatimChar"/>
        </w:rPr>
        <w:t xml:space="preserve">admin-proveedores-email</w:t>
      </w:r>
    </w:p>
    <w:p>
      <w:pPr>
        <w:pStyle w:val="FirstParagraph"/>
      </w:pPr>
      <w:r>
        <w:t xml:space="preserve">Correos de proveedores para envío automático de OC/notificaciones.</w:t>
      </w:r>
    </w:p>
    <w:bookmarkEnd w:id="22"/>
    <w:bookmarkStart w:id="23" w:name="config-smtp-admin-config-smtp"/>
    <w:p>
      <w:pPr>
        <w:pStyle w:val="Heading3"/>
      </w:pPr>
      <w:r>
        <w:t xml:space="preserve">5.2 Config SMTP —</w:t>
      </w:r>
      <w:r>
        <w:t xml:space="preserve"> </w:t>
      </w:r>
      <w:r>
        <w:rPr>
          <w:rStyle w:val="VerbatimChar"/>
        </w:rPr>
        <w:t xml:space="preserve">admin-config-smtp</w:t>
      </w:r>
    </w:p>
    <w:p>
      <w:pPr>
        <w:pStyle w:val="FirstParagraph"/>
      </w:pPr>
      <w:r>
        <w:t xml:space="preserve">Servidor de correo saliente: host, puerto, credenciales, remitente.</w:t>
      </w:r>
      <w:r>
        <w:t xml:space="preserve"> </w:t>
      </w:r>
      <w:r>
        <w:rPr>
          <w:b/>
          <w:bCs/>
        </w:rPr>
        <w:t xml:space="preserve">Cambiar con cuidado</w:t>
      </w:r>
      <w:r>
        <w:t xml:space="preserve"> </w:t>
      </w:r>
      <w:r>
        <w:t xml:space="preserve">— afecta todos los envíos.</w:t>
      </w:r>
    </w:p>
    <w:bookmarkEnd w:id="23"/>
    <w:bookmarkStart w:id="24" w:name="plantilla-correo-admin-plantilla-correo"/>
    <w:p>
      <w:pPr>
        <w:pStyle w:val="Heading3"/>
      </w:pPr>
      <w:r>
        <w:t xml:space="preserve">5.3 Plantilla Correo —</w:t>
      </w:r>
      <w:r>
        <w:t xml:space="preserve"> </w:t>
      </w:r>
      <w:r>
        <w:rPr>
          <w:rStyle w:val="VerbatimChar"/>
        </w:rPr>
        <w:t xml:space="preserve">admin-plantilla-correo</w:t>
      </w:r>
    </w:p>
    <w:p>
      <w:pPr>
        <w:pStyle w:val="FirstParagraph"/>
      </w:pPr>
      <w:r>
        <w:t xml:space="preserve">Cuerpo/asunto de los correos automáticos (variables del documento).</w:t>
      </w:r>
    </w:p>
    <w:bookmarkEnd w:id="24"/>
    <w:bookmarkStart w:id="25" w:name="plantilla-pdf-admin-plantilla-pdf"/>
    <w:p>
      <w:pPr>
        <w:pStyle w:val="Heading3"/>
      </w:pPr>
      <w:r>
        <w:t xml:space="preserve">5.4 Plantilla PDF —</w:t>
      </w:r>
      <w:r>
        <w:t xml:space="preserve"> </w:t>
      </w:r>
      <w:r>
        <w:rPr>
          <w:rStyle w:val="VerbatimChar"/>
        </w:rPr>
        <w:t xml:space="preserve">admin-plantilla-pdf</w:t>
      </w:r>
    </w:p>
    <w:p>
      <w:pPr>
        <w:pStyle w:val="FirstParagraph"/>
      </w:pPr>
      <w:r>
        <w:t xml:space="preserve">Diseño del PDF de órdenes: cabecera, signatarios, pie.</w:t>
      </w:r>
    </w:p>
    <w:bookmarkEnd w:id="25"/>
    <w:bookmarkEnd w:id="26"/>
    <w:bookmarkStart w:id="29" w:name="apariencia-y-branding"/>
    <w:p>
      <w:pPr>
        <w:pStyle w:val="Heading2"/>
      </w:pPr>
      <w:r>
        <w:t xml:space="preserve">6. Apariencia y branding</w:t>
      </w:r>
    </w:p>
    <w:bookmarkStart w:id="27" w:name="Xdd79443c622a57aa6c98afef1918aeac897c2b4"/>
    <w:p>
      <w:pPr>
        <w:pStyle w:val="Heading3"/>
      </w:pPr>
      <w:r>
        <w:t xml:space="preserve">6.1 Configuración de Colores —</w:t>
      </w:r>
      <w:r>
        <w:t xml:space="preserve"> </w:t>
      </w:r>
      <w:r>
        <w:rPr>
          <w:rStyle w:val="VerbatimChar"/>
        </w:rPr>
        <w:t xml:space="preserve">configuracion-colores</w:t>
      </w:r>
    </w:p>
    <w:p>
      <w:pPr>
        <w:pStyle w:val="FirstParagraph"/>
      </w:pPr>
      <w:r>
        <w:t xml:space="preserve">Paleta de colores de la app por empresa.</w:t>
      </w:r>
    </w:p>
    <w:bookmarkEnd w:id="27"/>
    <w:bookmarkStart w:id="28" w:name="config-branding-admin-config-branding"/>
    <w:p>
      <w:pPr>
        <w:pStyle w:val="Heading3"/>
      </w:pPr>
      <w:r>
        <w:t xml:space="preserve">6.2 Config Branding —</w:t>
      </w:r>
      <w:r>
        <w:t xml:space="preserve"> </w:t>
      </w:r>
      <w:r>
        <w:rPr>
          <w:rStyle w:val="VerbatimChar"/>
        </w:rPr>
        <w:t xml:space="preserve">admin-config-branding</w:t>
      </w:r>
    </w:p>
    <w:p>
      <w:pPr>
        <w:pStyle w:val="FirstParagraph"/>
      </w:pPr>
      <w:r>
        <w:t xml:space="preserve">Logo, nombre y assets de marca por empresa.</w:t>
      </w:r>
    </w:p>
    <w:bookmarkEnd w:id="28"/>
    <w:bookmarkEnd w:id="29"/>
    <w:bookmarkStart w:id="35" w:name="permisos-y-menús"/>
    <w:p>
      <w:pPr>
        <w:pStyle w:val="Heading2"/>
      </w:pPr>
      <w:r>
        <w:t xml:space="preserve">7. Permisos y menús</w:t>
      </w:r>
    </w:p>
    <w:bookmarkStart w:id="30" w:name="permisos-roles-admin-permisos-roles"/>
    <w:p>
      <w:pPr>
        <w:pStyle w:val="Heading3"/>
      </w:pPr>
      <w:r>
        <w:t xml:space="preserve">7.1 Permisos Roles —</w:t>
      </w:r>
      <w:r>
        <w:t xml:space="preserve"> </w:t>
      </w:r>
      <w:r>
        <w:rPr>
          <w:rStyle w:val="VerbatimChar"/>
        </w:rPr>
        <w:t xml:space="preserve">admin-permisos-roles</w:t>
      </w:r>
    </w:p>
    <w:p>
      <w:pPr>
        <w:pStyle w:val="FirstParagraph"/>
      </w:pPr>
      <w:r>
        <w:t xml:space="preserve">Permisos por rol del módulo clásico (distinto de</w:t>
      </w:r>
      <w:r>
        <w:t xml:space="preserve"> </w:t>
      </w:r>
      <w:r>
        <w:rPr>
          <w:rStyle w:val="VerbatimChar"/>
        </w:rPr>
        <w:t xml:space="preserve">ADMINLG_*</w:t>
      </w:r>
      <w:r>
        <w:t xml:space="preserve"> </w:t>
      </w:r>
      <w:r>
        <w:t xml:space="preserve">de la consola nueva).</w:t>
      </w:r>
    </w:p>
    <w:bookmarkEnd w:id="30"/>
    <w:bookmarkStart w:id="31" w:name="menús-layout-admin-menus-layout"/>
    <w:p>
      <w:pPr>
        <w:pStyle w:val="Heading3"/>
      </w:pPr>
      <w:r>
        <w:t xml:space="preserve">7.2 Menús Layout —</w:t>
      </w:r>
      <w:r>
        <w:t xml:space="preserve"> </w:t>
      </w:r>
      <w:r>
        <w:rPr>
          <w:rStyle w:val="VerbatimChar"/>
        </w:rPr>
        <w:t xml:space="preserve">admin-menus-layout</w:t>
      </w:r>
    </w:p>
    <w:p>
      <w:pPr>
        <w:pStyle w:val="FirstParagraph"/>
      </w:pPr>
      <w:r>
        <w:t xml:space="preserve">Tipo de layout del menú por rol (accordion, nav, list) — escribe las claves</w:t>
      </w:r>
      <w:r>
        <w:t xml:space="preserve"> </w:t>
      </w:r>
      <w:r>
        <w:rPr>
          <w:rStyle w:val="VerbatimChar"/>
        </w:rPr>
        <w:t xml:space="preserve">MENU_TYPE</w:t>
      </w:r>
      <w:r>
        <w:t xml:space="preserve">/</w:t>
      </w:r>
      <w:r>
        <w:rPr>
          <w:rStyle w:val="VerbatimChar"/>
        </w:rPr>
        <w:t xml:space="preserve">LAYOUT_*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LOGISTICA_ConfiguracionPermiso</w:t>
      </w:r>
      <w:r>
        <w:t xml:space="preserve">.</w:t>
      </w:r>
    </w:p>
    <w:bookmarkEnd w:id="31"/>
    <w:bookmarkStart w:id="32" w:name="menús-dinámicos-admin-menus-dinamicos"/>
    <w:p>
      <w:pPr>
        <w:pStyle w:val="Heading3"/>
      </w:pPr>
      <w:r>
        <w:t xml:space="preserve">7.3 Menús Dinámicos —</w:t>
      </w:r>
      <w:r>
        <w:t xml:space="preserve"> </w:t>
      </w:r>
      <w:r>
        <w:rPr>
          <w:rStyle w:val="VerbatimChar"/>
        </w:rPr>
        <w:t xml:space="preserve">admin-menus-dinamicos</w:t>
      </w:r>
    </w:p>
    <w:p>
      <w:pPr>
        <w:pStyle w:val="FirstParagraph"/>
      </w:pPr>
      <w:r>
        <w:t xml:space="preserve">Editor de</w:t>
      </w:r>
      <w:r>
        <w:t xml:space="preserve"> </w:t>
      </w:r>
      <w:r>
        <w:rPr>
          <w:rStyle w:val="VerbatimChar"/>
        </w:rPr>
        <w:t xml:space="preserve">MENU_JSON</w:t>
      </w:r>
      <w:r>
        <w:t xml:space="preserve"> </w:t>
      </w:r>
      <w:r>
        <w:t xml:space="preserve">por rol: grupos, ítems, iconos, rutas, orden, activo/inactivo.</w:t>
      </w:r>
    </w:p>
    <w:bookmarkEnd w:id="32"/>
    <w:bookmarkStart w:id="33" w:name="X8d55b2d95f5324943589816c5d9c7bdcb9ce0ea"/>
    <w:p>
      <w:pPr>
        <w:pStyle w:val="Heading3"/>
      </w:pPr>
      <w:r>
        <w:t xml:space="preserve">7.4 Permisos Menú Dinámico —</w:t>
      </w:r>
      <w:r>
        <w:t xml:space="preserve"> </w:t>
      </w:r>
      <w:r>
        <w:rPr>
          <w:rStyle w:val="VerbatimChar"/>
        </w:rPr>
        <w:t xml:space="preserve">admin-permisos-menu-dinamico</w:t>
      </w:r>
    </w:p>
    <w:p>
      <w:pPr>
        <w:pStyle w:val="FirstParagraph"/>
      </w:pPr>
      <w:r>
        <w:t xml:space="preserve">Permisos finos sobre los ítems del menú dinámico (</w:t>
      </w:r>
      <w:r>
        <w:rPr>
          <w:rStyle w:val="VerbatimChar"/>
        </w:rPr>
        <w:t xml:space="preserve">ITEMS_VISIBLES</w:t>
      </w:r>
      <w:r>
        <w:t xml:space="preserve">).</w:t>
      </w:r>
    </w:p>
    <w:bookmarkEnd w:id="33"/>
    <w:bookmarkStart w:id="34" w:name="plantillas-menú-admin-plantillas-menu"/>
    <w:p>
      <w:pPr>
        <w:pStyle w:val="Heading3"/>
      </w:pPr>
      <w:r>
        <w:t xml:space="preserve">7.5 Plantillas Menú —</w:t>
      </w:r>
      <w:r>
        <w:t xml:space="preserve"> </w:t>
      </w:r>
      <w:r>
        <w:rPr>
          <w:rStyle w:val="VerbatimChar"/>
        </w:rPr>
        <w:t xml:space="preserve">admin-plantillas-menu</w:t>
      </w:r>
    </w:p>
    <w:p>
      <w:pPr>
        <w:pStyle w:val="FirstParagraph"/>
      </w:pPr>
      <w:r>
        <w:t xml:space="preserve">Plantillas reutilizables de menú para aplicar a varios roles de una vez.</w:t>
      </w:r>
    </w:p>
    <w:bookmarkEnd w:id="34"/>
    <w:bookmarkEnd w:id="35"/>
    <w:bookmarkStart w:id="40" w:name="empresas-y-sincronización"/>
    <w:p>
      <w:pPr>
        <w:pStyle w:val="Heading2"/>
      </w:pPr>
      <w:r>
        <w:t xml:space="preserve">8. Empresas y sincronización</w:t>
      </w:r>
    </w:p>
    <w:bookmarkStart w:id="36" w:name="empresas-admin-empresas"/>
    <w:p>
      <w:pPr>
        <w:pStyle w:val="Heading3"/>
      </w:pPr>
      <w:r>
        <w:t xml:space="preserve">8.1 Empresas —</w:t>
      </w:r>
      <w:r>
        <w:t xml:space="preserve"> </w:t>
      </w:r>
      <w:r>
        <w:rPr>
          <w:rStyle w:val="VerbatimChar"/>
        </w:rPr>
        <w:t xml:space="preserve">admin-empresas</w:t>
      </w:r>
    </w:p>
    <w:p>
      <w:pPr>
        <w:pStyle w:val="FirstParagraph"/>
      </w:pPr>
      <w:r>
        <w:t xml:space="preserve">CRUD de empresas del grupo (multiempresa).</w:t>
      </w:r>
    </w:p>
    <w:bookmarkEnd w:id="36"/>
    <w:bookmarkStart w:id="37" w:name="X280a9364d8fc66413eb0561ae423ff14e262a10"/>
    <w:p>
      <w:pPr>
        <w:pStyle w:val="Heading3"/>
      </w:pPr>
      <w:r>
        <w:t xml:space="preserve">8.2 Plantilla Almacén —</w:t>
      </w:r>
      <w:r>
        <w:t xml:space="preserve"> </w:t>
      </w:r>
      <w:r>
        <w:rPr>
          <w:rStyle w:val="VerbatimChar"/>
        </w:rPr>
        <w:t xml:space="preserve">admin-plantilla-almacen</w:t>
      </w:r>
    </w:p>
    <w:p>
      <w:pPr>
        <w:pStyle w:val="FirstParagraph"/>
      </w:pPr>
      <w:r>
        <w:t xml:space="preserve">Plantillas de almacén por empresa.</w:t>
      </w:r>
    </w:p>
    <w:bookmarkEnd w:id="37"/>
    <w:bookmarkStart w:id="38" w:name="versión-api-admin-version-api"/>
    <w:p>
      <w:pPr>
        <w:pStyle w:val="Heading3"/>
      </w:pPr>
      <w:r>
        <w:t xml:space="preserve">8.3 Versión API —</w:t>
      </w:r>
      <w:r>
        <w:t xml:space="preserve"> </w:t>
      </w:r>
      <w:r>
        <w:rPr>
          <w:rStyle w:val="VerbatimChar"/>
        </w:rPr>
        <w:t xml:space="preserve">admin-version-api</w:t>
      </w:r>
    </w:p>
    <w:p>
      <w:pPr>
        <w:pStyle w:val="FirstParagraph"/>
      </w:pPr>
      <w:r>
        <w:t xml:space="preserve">Versión de la API desplegada — útil para verificar despliegues y el control de versiones de la app (</w:t>
      </w:r>
      <w:r>
        <w:rPr>
          <w:rStyle w:val="VerbatimChar"/>
        </w:rPr>
        <w:t xml:space="preserve">updateMode</w:t>
      </w:r>
      <w:r>
        <w:t xml:space="preserve">).</w:t>
      </w:r>
    </w:p>
    <w:bookmarkEnd w:id="38"/>
    <w:bookmarkStart w:id="39" w:name="sincronización-admin-sincronizacion"/>
    <w:p>
      <w:pPr>
        <w:pStyle w:val="Heading3"/>
      </w:pPr>
      <w:r>
        <w:t xml:space="preserve">8.4 Sincronización —</w:t>
      </w:r>
      <w:r>
        <w:t xml:space="preserve"> </w:t>
      </w:r>
      <w:r>
        <w:rPr>
          <w:rStyle w:val="VerbatimChar"/>
        </w:rPr>
        <w:t xml:space="preserve">admin-sincronizacion</w:t>
      </w:r>
    </w:p>
    <w:p>
      <w:pPr>
        <w:pStyle w:val="FirstParagraph"/>
      </w:pPr>
      <w:r>
        <w:t xml:space="preserve">Herramientas de sincronización de maestras/datos hacia los clientes.</w:t>
      </w:r>
    </w:p>
    <w:bookmarkEnd w:id="39"/>
    <w:bookmarkEnd w:id="40"/>
    <w:bookmarkStart w:id="43" w:name="Xaf6652a2796c345323eae3f446e9ab635316a66"/>
    <w:p>
      <w:pPr>
        <w:pStyle w:val="Heading2"/>
      </w:pPr>
      <w:r>
        <w:t xml:space="preserve">9. Diferencias con la consola</w:t>
      </w:r>
      <w:r>
        <w:t xml:space="preserve"> </w:t>
      </w:r>
      <w:r>
        <w:rPr>
          <w:rStyle w:val="VerbatimChar"/>
        </w:rPr>
        <w:t xml:space="preserve">/admin-logistica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/administracion</w:t>
            </w:r>
            <w:r>
              <w:t xml:space="preserve"> </w:t>
            </w:r>
            <w:r>
              <w:t xml:space="preserve">(clásica)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/admin-logistica</w:t>
            </w:r>
            <w:r>
              <w:t xml:space="preserve"> </w:t>
            </w:r>
            <w:r>
              <w:t xml:space="preserve">(consola)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/admin-login</w:t>
            </w:r>
            <w:r>
              <w:t xml:space="preserve"> </w:t>
            </w:r>
            <w:r>
              <w:t xml:space="preserve">+ token</w:t>
            </w:r>
          </w:p>
        </w:tc>
        <w:tc>
          <w:tcPr/>
          <w:p>
            <w:pPr>
              <w:pStyle w:val="Compact"/>
            </w:pPr>
            <w:r>
              <w:t xml:space="preserve">Login propio con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Enfoque</w:t>
            </w:r>
          </w:p>
        </w:tc>
        <w:tc>
          <w:tcPr/>
          <w:p>
            <w:pPr>
              <w:pStyle w:val="Compact"/>
            </w:pPr>
            <w:r>
              <w:t xml:space="preserve">Configuración histórica completa</w:t>
            </w:r>
          </w:p>
        </w:tc>
        <w:tc>
          <w:tcPr/>
          <w:p>
            <w:pPr>
              <w:pStyle w:val="Compact"/>
            </w:pPr>
            <w:r>
              <w:t xml:space="preserve">Administración logística + aprobaciones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Aprobaciones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Sí (bandeja, consumo, SC, 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Menús/branding</w:t>
            </w:r>
          </w:p>
        </w:tc>
        <w:tc>
          <w:tcPr/>
          <w:p>
            <w:pPr>
              <w:pStyle w:val="Compact"/>
            </w:pPr>
            <w:r>
              <w:t xml:space="preserve">Sí (editor completo)</w:t>
            </w:r>
          </w:p>
        </w:tc>
        <w:tc>
          <w:tcPr/>
          <w:p>
            <w:pPr>
              <w:pStyle w:val="Compact"/>
            </w:pPr>
            <w:r>
              <w:t xml:space="preserve">No (solo permisos</w:t>
            </w:r>
            <w:r>
              <w:t xml:space="preserve"> </w:t>
            </w:r>
            <w:r>
              <w:rPr>
                <w:rStyle w:val="VerbatimChar"/>
              </w:rPr>
              <w:t xml:space="preserve">ADMINLG_*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CRUD general</w:t>
            </w:r>
          </w:p>
        </w:tc>
        <w:tc>
          <w:tcPr/>
          <w:p>
            <w:pPr>
              <w:pStyle w:val="Compact"/>
            </w:pPr>
            <w:r>
              <w:t xml:space="preserve">CRUD con restricción por 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Recomendado para</w:t>
            </w:r>
          </w:p>
        </w:tc>
        <w:tc>
          <w:tcPr/>
          <w:p>
            <w:pPr>
              <w:pStyle w:val="Compact"/>
            </w:pPr>
            <w:r>
              <w:t xml:space="preserve">Setup inicial, correo, branding</w:t>
            </w:r>
          </w:p>
        </w:tc>
        <w:tc>
          <w:tcPr/>
          <w:p>
            <w:pPr>
              <w:pStyle w:val="Compact"/>
            </w:pPr>
            <w:r>
              <w:t xml:space="preserve">Operación diaria de administración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Regla práctica:</w:t>
      </w:r>
      <w:r>
        <w:t xml:space="preserve"> </w:t>
      </w:r>
      <w:r>
        <w:t xml:space="preserve">configuración de correo, plantillas, branding y menús → módulo clásico. Aprobaciones, usuarios por área, flujos y permisos de consola →</w:t>
      </w:r>
      <w:r>
        <w:t xml:space="preserve"> </w:t>
      </w:r>
      <w:r>
        <w:rPr>
          <w:rStyle w:val="VerbatimChar"/>
        </w:rPr>
        <w:t xml:space="preserve">/admin-logistica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Ver también:</w:t>
      </w:r>
      <w:r>
        <w:rPr>
          <w:i/>
          <w:iCs/>
        </w:rPr>
        <w:t xml:space="preserve"> </w:t>
      </w:r>
      <w:hyperlink r:id="rId41">
        <w:r>
          <w:rPr>
            <w:rStyle w:val="Hyperlink"/>
            <w:i/>
            <w:iCs/>
          </w:rPr>
          <w:t xml:space="preserve">Manual maestro de roles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hyperlink r:id="rId42">
        <w:r>
          <w:rPr>
            <w:rStyle w:val="Hyperlink"/>
            <w:i/>
            <w:iCs/>
          </w:rPr>
          <w:t xml:space="preserve">Consola Admin Logística</w:t>
        </w:r>
      </w:hyperlink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MANUAL_CONSOLA_ADMIN_LOGISTICA.md" TargetMode="External" /><Relationship Type="http://schemas.openxmlformats.org/officeDocument/2006/relationships/hyperlink" Id="rId41" Target="MANUAL_ROLES_SISTEMA_COMPLET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MANUAL_CONSOLA_ADMIN_LOGISTICA.md" TargetMode="External" /><Relationship Type="http://schemas.openxmlformats.org/officeDocument/2006/relationships/hyperlink" Id="rId41" Target="MANUAL_ROLES_SISTEMA_COMPLET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2026-10-19T21:28:55Z</dcterms:created>
  <dcterms:modified xsi:type="dcterms:W3CDTF">2026-10-19T21:28:55Z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