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anual-de-usuario-gerente-gerente"/>
    <w:p>
      <w:pPr>
        <w:pStyle w:val="Heading1"/>
      </w:pPr>
      <w:r>
        <w:t xml:space="preserve">Manual de Usuario — Gerente (GERENTE)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Definida por menú configurado en BD (recomendado: dashboard + aprobaciones)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../video-tutoriales/VIDEO_TUTORIAL_GERENTE.html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la</w:t>
      </w:r>
      <w:r>
        <w:t xml:space="preserve"> </w:t>
      </w:r>
      <w:r>
        <w:rPr>
          <w:b/>
          <w:bCs/>
        </w:rPr>
        <w:t xml:space="preserve">gerencia</w:t>
      </w:r>
      <w:r>
        <w:t xml:space="preserve">: das el visto bueno final a las Órdenes de Compra y Órdenes de Servicio de mayor relevancia y supervisas indicadores financieros.</w:t>
      </w:r>
    </w:p>
    <w:bookmarkEnd w:id="10"/>
    <w:bookmarkStart w:id="11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 el sistema muestra el menú configurado para tu rol. Si al entrar no ves opciones, pide al administrador que configure el menú de GERENTE (se recomienda: Dashboard + Aprobaciones + Reportes).</w:t>
      </w:r>
    </w:p>
    <w:bookmarkEnd w:id="11"/>
    <w:bookmarkStart w:id="12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Finanzas</w:t>
            </w:r>
          </w:p>
        </w:tc>
        <w:tc>
          <w:tcPr/>
          <w:p>
            <w:pPr>
              <w:pStyle w:val="Compact"/>
            </w:pPr>
            <w:r>
              <w:t xml:space="preserve">Indicadores de órdenes y gasto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OC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OS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 abiertas</w:t>
            </w:r>
          </w:p>
        </w:tc>
      </w:tr>
    </w:tbl>
    <w:bookmarkEnd w:id="12"/>
    <w:bookmarkStart w:id="15" w:name="procedimientos-frecuentes"/>
    <w:p>
      <w:pPr>
        <w:pStyle w:val="Heading2"/>
      </w:pPr>
      <w:r>
        <w:t xml:space="preserve">4. Procedimientos frecuentes</w:t>
      </w:r>
    </w:p>
    <w:bookmarkStart w:id="13" w:name="aprobar-una-orden-de-compra"/>
    <w:p>
      <w:pPr>
        <w:pStyle w:val="Heading3"/>
      </w:pPr>
      <w:r>
        <w:t xml:space="preserve">Aprobar una Orden de Compra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Aprobación OC</w:t>
      </w:r>
      <w:r>
        <w:t xml:space="preserve"> </w:t>
      </w:r>
      <w:r>
        <w:t xml:space="preserve">→ lista de pendientes.</w:t>
      </w:r>
    </w:p>
    <w:p>
      <w:pPr>
        <w:pStyle w:val="Compact"/>
        <w:numPr>
          <w:ilvl w:val="0"/>
          <w:numId w:val="1001"/>
        </w:numPr>
      </w:pPr>
      <w:r>
        <w:t xml:space="preserve">Abre la orden: proveedor, líneas, monto total, cotizaciones adjuntas, trazabilidad de la solicitud.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(la orden continúa a emisión) 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con motivo.</w:t>
      </w:r>
    </w:p>
    <w:bookmarkEnd w:id="13"/>
    <w:bookmarkStart w:id="14" w:name="aprobar-una-orden-de-servicio"/>
    <w:p>
      <w:pPr>
        <w:pStyle w:val="Heading3"/>
      </w:pPr>
      <w:r>
        <w:t xml:space="preserve">Aprobar una Orden de Servicio</w:t>
      </w:r>
    </w:p>
    <w:p>
      <w:pPr>
        <w:pStyle w:val="FirstParagraph"/>
      </w:pPr>
      <w:r>
        <w:t xml:space="preserve">Mismo flujo en</w:t>
      </w:r>
      <w:r>
        <w:t xml:space="preserve"> </w:t>
      </w:r>
      <w:r>
        <w:rPr>
          <w:b/>
          <w:bCs/>
        </w:rPr>
        <w:t xml:space="preserve">Aprobación OS</w:t>
      </w:r>
      <w:r>
        <w:t xml:space="preserve">.</w:t>
      </w:r>
    </w:p>
    <w:bookmarkEnd w:id="14"/>
    <w:bookmarkEnd w:id="15"/>
    <w:bookmarkStart w:id="16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2"/>
        </w:numPr>
      </w:pPr>
      <w:r>
        <w:t xml:space="preserve">Alcance de aprobación y consulta únicamente; no operas requerimientos, compras ni almacén.</w:t>
      </w:r>
    </w:p>
    <w:p>
      <w:pPr>
        <w:pStyle w:val="Compact"/>
        <w:numPr>
          <w:ilvl w:val="0"/>
          <w:numId w:val="1002"/>
        </w:numPr>
      </w:pPr>
      <w:r>
        <w:t xml:space="preserve">Tu menú depende totalmente de la configuración en BD — coordina con TI para ajustarlo.</w:t>
      </w:r>
    </w:p>
    <w:bookmarkEnd w:id="16"/>
    <w:bookmarkStart w:id="17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 y no veo menú</w:t>
            </w:r>
          </w:p>
        </w:tc>
        <w:tc>
          <w:tcPr/>
          <w:p>
            <w:pPr>
              <w:pStyle w:val="Compact"/>
            </w:pPr>
            <w:r>
              <w:t xml:space="preserve">El rol GERENTE no tiene redirect propio: pide a TI configurar</w:t>
            </w:r>
            <w:r>
              <w:t xml:space="preserve"> </w:t>
            </w:r>
            <w:r>
              <w:rPr>
                <w:rStyle w:val="VerbatimChar"/>
              </w:rPr>
              <w:t xml:space="preserve">MENU_JSON</w:t>
            </w:r>
            <w:r>
              <w:t xml:space="preserve">/</w:t>
            </w:r>
            <w:r>
              <w:rPr>
                <w:rStyle w:val="VerbatimChar"/>
              </w:rPr>
              <w:t xml:space="preserve">ITEMS_VISIBLES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ver más reportes</w:t>
            </w:r>
          </w:p>
        </w:tc>
        <w:tc>
          <w:tcPr/>
          <w:p>
            <w:pPr>
              <w:pStyle w:val="Compact"/>
            </w:pPr>
            <w:r>
              <w:t xml:space="preserve">Los reportes abiertos están disponibles; reportes adicionales requieren configuración del menú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video-tutoriales/VIDEO_TUTORIAL_GERENT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GERENT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