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Relatório SGP - Dashboards</w:t>
      </w:r>
    </w:p>
    <w:p w:rsidR="000E7251" w:rsidRPr="001F0DF2" w:rsidRDefault="00F463B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Diagnóstico inicial </w:t>
      </w:r>
      <w:r w:rsidR="000E7251" w:rsidRPr="001F0DF2">
        <w:rPr>
          <w:rFonts w:ascii="Times New Roman" w:hAnsi="Times New Roman"/>
          <w:sz w:val="24"/>
          <w:szCs w:val="24"/>
        </w:rPr>
        <w:t>de melhorias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Data: 10/07/2026</w:t>
      </w:r>
    </w:p>
    <w:p w:rsidR="000E7251" w:rsidRPr="00834639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bookmarkStart w:id="0" w:name="_GoBack"/>
      <w:bookmarkEnd w:id="0"/>
      <w:r w:rsidRPr="00834639">
        <w:rPr>
          <w:rFonts w:ascii="Times New Roman" w:hAnsi="Times New Roman"/>
          <w:b/>
          <w:sz w:val="24"/>
          <w:szCs w:val="24"/>
        </w:rPr>
        <w:br w:type="page"/>
      </w:r>
      <w:r w:rsidRPr="00834639">
        <w:rPr>
          <w:rFonts w:ascii="Times New Roman" w:hAnsi="Times New Roman"/>
          <w:b/>
          <w:bCs/>
          <w:sz w:val="24"/>
          <w:szCs w:val="24"/>
        </w:rPr>
        <w:lastRenderedPageBreak/>
        <w:t>1. Objetivo do documento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Este documento apresenta o diagnóstico inicial do sistema de dashboards SGP, organizado pelas telas que compõem a jornada de análise. O objetivo </w:t>
      </w:r>
      <w:r w:rsidR="001F0DF2">
        <w:rPr>
          <w:rFonts w:ascii="Times New Roman" w:hAnsi="Times New Roman"/>
          <w:sz w:val="24"/>
          <w:szCs w:val="24"/>
        </w:rPr>
        <w:t xml:space="preserve">é </w:t>
      </w:r>
      <w:r w:rsidRPr="001F0DF2">
        <w:rPr>
          <w:rFonts w:ascii="Times New Roman" w:hAnsi="Times New Roman"/>
          <w:sz w:val="24"/>
          <w:szCs w:val="24"/>
        </w:rPr>
        <w:t>apoiar a decisão sobre o que deve ser corrigido, melhorado ou estruturado antes de novas evoluções.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834639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834639">
        <w:rPr>
          <w:rFonts w:ascii="Times New Roman" w:hAnsi="Times New Roman"/>
          <w:b/>
          <w:bCs/>
          <w:sz w:val="24"/>
          <w:szCs w:val="24"/>
        </w:rPr>
        <w:t>2. Resumo executivo</w:t>
      </w:r>
    </w:p>
    <w:p w:rsidR="000E7251" w:rsidRPr="001F0DF2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 principal ponto de atenção para manutenção e confiabilidade futura é a concentração de regras importantes, telas e parte das consultas em poucos arquivos.</w:t>
      </w:r>
      <w:r w:rsidR="000E7251" w:rsidRPr="001F0DF2">
        <w:rPr>
          <w:rFonts w:ascii="Times New Roman" w:hAnsi="Times New Roman"/>
          <w:sz w:val="24"/>
          <w:szCs w:val="24"/>
        </w:rPr>
        <w:t xml:space="preserve"> Também foram identificadas configurações e dependências que precisam ser alinhadas para reduzir o risco de falhas em instalação, atualização ou troca de ambiente.</w:t>
      </w:r>
    </w:p>
    <w:p w:rsidR="000E7251" w:rsidRPr="00834639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834639">
        <w:rPr>
          <w:rFonts w:ascii="Times New Roman" w:hAnsi="Times New Roman"/>
          <w:b/>
          <w:sz w:val="24"/>
          <w:szCs w:val="24"/>
        </w:rPr>
        <w:br w:type="page"/>
      </w:r>
      <w:r w:rsidRPr="00834639">
        <w:rPr>
          <w:rFonts w:ascii="Times New Roman" w:hAnsi="Times New Roman"/>
          <w:b/>
          <w:bCs/>
          <w:sz w:val="24"/>
          <w:szCs w:val="24"/>
        </w:rPr>
        <w:lastRenderedPageBreak/>
        <w:t>3. Melhorias e pontos de atenção por tela</w:t>
      </w:r>
    </w:p>
    <w:p w:rsidR="00834639" w:rsidRPr="001F0DF2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Para cada tela, são apresentados os pontos a inserir, melhorar, corrigir ou validar.</w:t>
      </w:r>
      <w:r w:rsidR="00834639">
        <w:rPr>
          <w:rFonts w:ascii="Times New Roman" w:hAnsi="Times New Roman"/>
          <w:bCs/>
          <w:sz w:val="24"/>
          <w:szCs w:val="24"/>
        </w:rPr>
        <w:t xml:space="preserve"> Confirmar a necessidade dos visuais presentes em outros </w:t>
      </w:r>
      <w:r>
        <w:rPr>
          <w:rFonts w:ascii="Times New Roman" w:hAnsi="Times New Roman"/>
          <w:bCs/>
          <w:sz w:val="24"/>
          <w:szCs w:val="24"/>
        </w:rPr>
        <w:t>dashboards</w:t>
      </w:r>
      <w:r w:rsidR="00834639">
        <w:rPr>
          <w:rFonts w:ascii="Times New Roman" w:hAnsi="Times New Roman"/>
          <w:bCs/>
          <w:sz w:val="24"/>
          <w:szCs w:val="24"/>
        </w:rPr>
        <w:t xml:space="preserve">: </w:t>
      </w:r>
      <w:r>
        <w:rPr>
          <w:rFonts w:ascii="Times New Roman" w:hAnsi="Times New Roman"/>
          <w:bCs/>
          <w:sz w:val="24"/>
          <w:szCs w:val="24"/>
        </w:rPr>
        <w:t>Geotecnia</w:t>
      </w:r>
      <w:r w:rsidR="00834639">
        <w:rPr>
          <w:rFonts w:ascii="Times New Roman" w:hAnsi="Times New Roman"/>
          <w:bCs/>
          <w:sz w:val="24"/>
          <w:szCs w:val="24"/>
        </w:rPr>
        <w:t xml:space="preserve">; Tráfego; Pavimentação 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85A48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185A48">
        <w:rPr>
          <w:rFonts w:ascii="Times New Roman" w:hAnsi="Times New Roman"/>
          <w:b/>
          <w:bCs/>
          <w:sz w:val="24"/>
          <w:szCs w:val="24"/>
        </w:rPr>
        <w:t>3.1 Visão Geral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Padronizar e disponibilizar de forma clara os fi</w:t>
      </w:r>
      <w:r w:rsidR="001F0DF2">
        <w:rPr>
          <w:rFonts w:ascii="Times New Roman" w:hAnsi="Times New Roman"/>
          <w:sz w:val="24"/>
          <w:szCs w:val="24"/>
        </w:rPr>
        <w:t>ltros de Rodovia, Ano e Cenário</w:t>
      </w:r>
      <w:r w:rsidRPr="001F0DF2">
        <w:rPr>
          <w:rFonts w:ascii="Times New Roman" w:hAnsi="Times New Roman"/>
          <w:sz w:val="24"/>
          <w:szCs w:val="24"/>
        </w:rPr>
        <w:t>.</w:t>
      </w:r>
      <w:r w:rsidR="00834639">
        <w:rPr>
          <w:rFonts w:ascii="Times New Roman" w:hAnsi="Times New Roman"/>
          <w:sz w:val="24"/>
          <w:szCs w:val="24"/>
        </w:rPr>
        <w:t xml:space="preserve"> (Aplicado em praticamente todas as telas)</w:t>
      </w:r>
      <w:r w:rsidR="00B4468E">
        <w:rPr>
          <w:rFonts w:ascii="Times New Roman" w:hAnsi="Times New Roman"/>
          <w:sz w:val="24"/>
          <w:szCs w:val="24"/>
        </w:rPr>
        <w:t xml:space="preserve">. Não só a inserção, mas a </w:t>
      </w:r>
      <w:r w:rsidR="00C2382D">
        <w:rPr>
          <w:rFonts w:ascii="Times New Roman" w:hAnsi="Times New Roman"/>
          <w:sz w:val="24"/>
          <w:szCs w:val="24"/>
        </w:rPr>
        <w:t>interatividade</w:t>
      </w:r>
      <w:r w:rsidR="00B4468E">
        <w:rPr>
          <w:rFonts w:ascii="Times New Roman" w:hAnsi="Times New Roman"/>
          <w:sz w:val="24"/>
          <w:szCs w:val="24"/>
        </w:rPr>
        <w:t xml:space="preserve"> entre os visuais.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Garantir que a seleção feita na Visão Geral seja preservada ao navegar para as dem</w:t>
      </w:r>
      <w:r w:rsidR="001F0DF2">
        <w:rPr>
          <w:rFonts w:ascii="Times New Roman" w:hAnsi="Times New Roman"/>
          <w:sz w:val="24"/>
          <w:szCs w:val="24"/>
        </w:rPr>
        <w:t>ais telas, quando aplicável.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A </w:t>
      </w:r>
      <w:r w:rsidR="001F0DF2" w:rsidRPr="001F0DF2">
        <w:rPr>
          <w:rFonts w:ascii="Times New Roman" w:hAnsi="Times New Roman"/>
          <w:sz w:val="24"/>
          <w:szCs w:val="24"/>
        </w:rPr>
        <w:t>Visão</w:t>
      </w:r>
      <w:r w:rsidRPr="001F0DF2">
        <w:rPr>
          <w:rFonts w:ascii="Times New Roman" w:hAnsi="Times New Roman"/>
          <w:sz w:val="24"/>
          <w:szCs w:val="24"/>
        </w:rPr>
        <w:t xml:space="preserve"> Geral apresenta a quantidade de Trechos </w:t>
      </w:r>
      <w:r w:rsidR="001F0DF2" w:rsidRPr="001F0DF2">
        <w:rPr>
          <w:rFonts w:ascii="Times New Roman" w:hAnsi="Times New Roman"/>
          <w:sz w:val="24"/>
          <w:szCs w:val="24"/>
        </w:rPr>
        <w:t>Prioritários</w:t>
      </w:r>
      <w:r w:rsidRPr="001F0DF2">
        <w:rPr>
          <w:rFonts w:ascii="Times New Roman" w:hAnsi="Times New Roman"/>
          <w:sz w:val="24"/>
          <w:szCs w:val="24"/>
        </w:rPr>
        <w:t xml:space="preserve">, mas a regra atual do Streamlit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reproduz a </w:t>
      </w:r>
      <w:r w:rsidR="001F0DF2" w:rsidRPr="001F0DF2">
        <w:rPr>
          <w:rFonts w:ascii="Times New Roman" w:hAnsi="Times New Roman"/>
          <w:sz w:val="24"/>
          <w:szCs w:val="24"/>
        </w:rPr>
        <w:t>versão</w:t>
      </w:r>
      <w:r w:rsidRPr="001F0DF2">
        <w:rPr>
          <w:rFonts w:ascii="Times New Roman" w:hAnsi="Times New Roman"/>
          <w:sz w:val="24"/>
          <w:szCs w:val="24"/>
        </w:rPr>
        <w:t xml:space="preserve"> anterior desenvolvida no Power BI. A </w:t>
      </w:r>
      <w:r w:rsidR="001F0DF2" w:rsidRPr="001F0DF2">
        <w:rPr>
          <w:rFonts w:ascii="Times New Roman" w:hAnsi="Times New Roman"/>
          <w:sz w:val="24"/>
          <w:szCs w:val="24"/>
        </w:rPr>
        <w:t>divergência</w:t>
      </w:r>
      <w:r w:rsidRPr="001F0DF2">
        <w:rPr>
          <w:rFonts w:ascii="Times New Roman" w:hAnsi="Times New Roman"/>
          <w:sz w:val="24"/>
          <w:szCs w:val="24"/>
        </w:rPr>
        <w:t xml:space="preserve"> deve ser tratada como item de </w:t>
      </w:r>
      <w:r w:rsidR="001F0DF2" w:rsidRPr="001F0DF2">
        <w:rPr>
          <w:rFonts w:ascii="Times New Roman" w:hAnsi="Times New Roman"/>
          <w:sz w:val="24"/>
          <w:szCs w:val="24"/>
        </w:rPr>
        <w:t>estruturação</w:t>
      </w:r>
      <w:r w:rsidRPr="001F0DF2">
        <w:rPr>
          <w:rFonts w:ascii="Times New Roman" w:hAnsi="Times New Roman"/>
          <w:sz w:val="24"/>
          <w:szCs w:val="24"/>
        </w:rPr>
        <w:t xml:space="preserve"> da metodologia, antes de qualquer </w:t>
      </w:r>
      <w:r w:rsidR="001F0DF2" w:rsidRPr="001F0DF2">
        <w:rPr>
          <w:rFonts w:ascii="Times New Roman" w:hAnsi="Times New Roman"/>
          <w:sz w:val="24"/>
          <w:szCs w:val="24"/>
        </w:rPr>
        <w:t>mudança</w:t>
      </w:r>
      <w:r w:rsidRPr="001F0DF2">
        <w:rPr>
          <w:rFonts w:ascii="Times New Roman" w:hAnsi="Times New Roman"/>
          <w:sz w:val="24"/>
          <w:szCs w:val="24"/>
        </w:rPr>
        <w:t xml:space="preserve"> no ranking exibido.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Referência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Power BI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</w:t>
      </w:r>
      <w:r w:rsidR="001F0DF2" w:rsidRPr="001F0DF2">
        <w:rPr>
          <w:rFonts w:ascii="Times New Roman" w:hAnsi="Times New Roman"/>
          <w:sz w:val="24"/>
          <w:szCs w:val="24"/>
        </w:rPr>
        <w:t>Índice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técnico</w:t>
      </w:r>
      <w:r w:rsidRPr="001F0DF2">
        <w:rPr>
          <w:rFonts w:ascii="Times New Roman" w:hAnsi="Times New Roman"/>
          <w:sz w:val="24"/>
          <w:szCs w:val="24"/>
        </w:rPr>
        <w:t>: 0,4 x VMDA + 0,35 x IRI + 0,25 x DEF.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</w:t>
      </w:r>
      <w:r w:rsidR="001F0DF2" w:rsidRPr="001F0DF2">
        <w:rPr>
          <w:rFonts w:ascii="Times New Roman" w:hAnsi="Times New Roman"/>
          <w:sz w:val="24"/>
          <w:szCs w:val="24"/>
        </w:rPr>
        <w:t>Índice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econômico</w:t>
      </w:r>
      <w:r w:rsidRPr="001F0DF2">
        <w:rPr>
          <w:rFonts w:ascii="Times New Roman" w:hAnsi="Times New Roman"/>
          <w:sz w:val="24"/>
          <w:szCs w:val="24"/>
        </w:rPr>
        <w:t xml:space="preserve">: </w:t>
      </w:r>
      <w:r w:rsidR="001F0DF2" w:rsidRPr="001F0DF2">
        <w:rPr>
          <w:rFonts w:ascii="Times New Roman" w:hAnsi="Times New Roman"/>
          <w:sz w:val="24"/>
          <w:szCs w:val="24"/>
        </w:rPr>
        <w:t>normalização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logarítmica</w:t>
      </w:r>
      <w:r w:rsidRPr="001F0DF2">
        <w:rPr>
          <w:rFonts w:ascii="Times New Roman" w:hAnsi="Times New Roman"/>
          <w:sz w:val="24"/>
          <w:szCs w:val="24"/>
        </w:rPr>
        <w:t xml:space="preserve"> da </w:t>
      </w:r>
      <w:r w:rsidR="00C2382D">
        <w:rPr>
          <w:rFonts w:ascii="Times New Roman" w:hAnsi="Times New Roman"/>
          <w:sz w:val="24"/>
          <w:szCs w:val="24"/>
        </w:rPr>
        <w:t>eficiência média</w:t>
      </w:r>
      <w:r w:rsidRPr="001F0DF2">
        <w:rPr>
          <w:rFonts w:ascii="Times New Roman" w:hAnsi="Times New Roman"/>
          <w:sz w:val="24"/>
          <w:szCs w:val="24"/>
        </w:rPr>
        <w:t xml:space="preserve"> por </w:t>
      </w:r>
      <w:r w:rsidR="001F0DF2" w:rsidRPr="001F0DF2">
        <w:rPr>
          <w:rFonts w:ascii="Times New Roman" w:hAnsi="Times New Roman"/>
          <w:sz w:val="24"/>
          <w:szCs w:val="24"/>
        </w:rPr>
        <w:t>código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</w:t>
      </w:r>
      <w:r w:rsidR="001F0DF2" w:rsidRPr="001F0DF2">
        <w:rPr>
          <w:rFonts w:ascii="Times New Roman" w:hAnsi="Times New Roman"/>
          <w:sz w:val="24"/>
          <w:szCs w:val="24"/>
        </w:rPr>
        <w:t>Priorização</w:t>
      </w:r>
      <w:r w:rsidRPr="001F0DF2">
        <w:rPr>
          <w:rFonts w:ascii="Times New Roman" w:hAnsi="Times New Roman"/>
          <w:sz w:val="24"/>
          <w:szCs w:val="24"/>
        </w:rPr>
        <w:t xml:space="preserve"> final: 0,6 x IPT + 0,4 x IPE.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Unidade de </w:t>
      </w:r>
      <w:r w:rsidR="00B4468E" w:rsidRPr="001F0DF2">
        <w:rPr>
          <w:rFonts w:ascii="Times New Roman" w:hAnsi="Times New Roman"/>
          <w:sz w:val="24"/>
          <w:szCs w:val="24"/>
        </w:rPr>
        <w:t>análise</w:t>
      </w:r>
      <w:r w:rsidRPr="001F0DF2">
        <w:rPr>
          <w:rFonts w:ascii="Times New Roman" w:hAnsi="Times New Roman"/>
          <w:sz w:val="24"/>
          <w:szCs w:val="24"/>
        </w:rPr>
        <w:t xml:space="preserve">: </w:t>
      </w:r>
      <w:r w:rsidR="00C2382D">
        <w:rPr>
          <w:rFonts w:ascii="Times New Roman" w:hAnsi="Times New Roman"/>
          <w:sz w:val="24"/>
          <w:szCs w:val="24"/>
        </w:rPr>
        <w:t>eficiência média</w:t>
      </w:r>
      <w:r w:rsidRPr="001F0DF2">
        <w:rPr>
          <w:rFonts w:ascii="Times New Roman" w:hAnsi="Times New Roman"/>
          <w:sz w:val="24"/>
          <w:szCs w:val="24"/>
        </w:rPr>
        <w:t xml:space="preserve"> por </w:t>
      </w:r>
      <w:r w:rsidR="001F0DF2" w:rsidRPr="001F0DF2">
        <w:rPr>
          <w:rFonts w:ascii="Times New Roman" w:hAnsi="Times New Roman"/>
          <w:sz w:val="24"/>
          <w:szCs w:val="24"/>
        </w:rPr>
        <w:t>código</w:t>
      </w:r>
      <w:r w:rsidRPr="001F0DF2">
        <w:rPr>
          <w:rFonts w:ascii="Times New Roman" w:hAnsi="Times New Roman"/>
          <w:sz w:val="24"/>
          <w:szCs w:val="24"/>
        </w:rPr>
        <w:t>/SNV.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Implementação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atual no Streamlit (</w:t>
      </w:r>
      <w:r>
        <w:rPr>
          <w:rFonts w:ascii="Times New Roman" w:hAnsi="Times New Roman"/>
          <w:bCs/>
          <w:sz w:val="24"/>
          <w:szCs w:val="24"/>
        </w:rPr>
        <w:t>Paragon</w:t>
      </w:r>
      <w:r w:rsidR="000E7251" w:rsidRPr="001F0DF2">
        <w:rPr>
          <w:rFonts w:ascii="Times New Roman" w:hAnsi="Times New Roman"/>
          <w:bCs/>
          <w:sz w:val="24"/>
          <w:szCs w:val="24"/>
        </w:rPr>
        <w:t>)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</w:t>
      </w:r>
      <w:r w:rsidR="001F0DF2" w:rsidRPr="001F0DF2">
        <w:rPr>
          <w:rFonts w:ascii="Times New Roman" w:hAnsi="Times New Roman"/>
          <w:sz w:val="24"/>
          <w:szCs w:val="24"/>
        </w:rPr>
        <w:t>Índice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técnico</w:t>
      </w:r>
      <w:r w:rsidRPr="001F0DF2">
        <w:rPr>
          <w:rFonts w:ascii="Times New Roman" w:hAnsi="Times New Roman"/>
          <w:sz w:val="24"/>
          <w:szCs w:val="24"/>
        </w:rPr>
        <w:t>: 0,5 x VMDA + 0,3 x ICDS + 0,2 x ICDP.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</w:t>
      </w:r>
      <w:r w:rsidR="001F0DF2" w:rsidRPr="001F0DF2">
        <w:rPr>
          <w:rFonts w:ascii="Times New Roman" w:hAnsi="Times New Roman"/>
          <w:sz w:val="24"/>
          <w:szCs w:val="24"/>
        </w:rPr>
        <w:t>Índice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econômico</w:t>
      </w:r>
      <w:r w:rsidRPr="001F0DF2">
        <w:rPr>
          <w:rFonts w:ascii="Times New Roman" w:hAnsi="Times New Roman"/>
          <w:sz w:val="24"/>
          <w:szCs w:val="24"/>
        </w:rPr>
        <w:t xml:space="preserve">: </w:t>
      </w:r>
      <w:r w:rsidR="001F0DF2" w:rsidRPr="001F0DF2">
        <w:rPr>
          <w:rFonts w:ascii="Times New Roman" w:hAnsi="Times New Roman"/>
          <w:sz w:val="24"/>
          <w:szCs w:val="24"/>
        </w:rPr>
        <w:t>normalização</w:t>
      </w:r>
      <w:r w:rsidRPr="001F0DF2">
        <w:rPr>
          <w:rFonts w:ascii="Times New Roman" w:hAnsi="Times New Roman"/>
          <w:sz w:val="24"/>
          <w:szCs w:val="24"/>
        </w:rPr>
        <w:t xml:space="preserve"> linear da </w:t>
      </w:r>
      <w:r w:rsidR="001F0DF2" w:rsidRPr="001F0DF2">
        <w:rPr>
          <w:rFonts w:ascii="Times New Roman" w:hAnsi="Times New Roman"/>
          <w:sz w:val="24"/>
          <w:szCs w:val="24"/>
        </w:rPr>
        <w:t>eficiência</w:t>
      </w:r>
      <w:r w:rsidRPr="001F0DF2">
        <w:rPr>
          <w:rFonts w:ascii="Times New Roman" w:hAnsi="Times New Roman"/>
          <w:sz w:val="24"/>
          <w:szCs w:val="24"/>
        </w:rPr>
        <w:t xml:space="preserve"> por segmento.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</w:t>
      </w:r>
      <w:r w:rsidR="001F0DF2" w:rsidRPr="001F0DF2">
        <w:rPr>
          <w:rFonts w:ascii="Times New Roman" w:hAnsi="Times New Roman"/>
          <w:sz w:val="24"/>
          <w:szCs w:val="24"/>
        </w:rPr>
        <w:t>Priorização</w:t>
      </w:r>
      <w:r w:rsidRPr="001F0DF2">
        <w:rPr>
          <w:rFonts w:ascii="Times New Roman" w:hAnsi="Times New Roman"/>
          <w:sz w:val="24"/>
          <w:szCs w:val="24"/>
        </w:rPr>
        <w:t xml:space="preserve"> final: usa somente o IPT e o reescala em </w:t>
      </w:r>
      <w:r w:rsidR="001F0DF2" w:rsidRPr="001F0DF2">
        <w:rPr>
          <w:rFonts w:ascii="Times New Roman" w:hAnsi="Times New Roman"/>
          <w:sz w:val="24"/>
          <w:szCs w:val="24"/>
        </w:rPr>
        <w:t>níveis</w:t>
      </w:r>
      <w:r w:rsidRPr="001F0DF2">
        <w:rPr>
          <w:rFonts w:ascii="Times New Roman" w:hAnsi="Times New Roman"/>
          <w:sz w:val="24"/>
          <w:szCs w:val="24"/>
        </w:rPr>
        <w:t xml:space="preserve"> de 1 a 10.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Unidade de </w:t>
      </w:r>
      <w:r w:rsidR="001F0DF2" w:rsidRPr="001F0DF2">
        <w:rPr>
          <w:rFonts w:ascii="Times New Roman" w:hAnsi="Times New Roman"/>
          <w:sz w:val="24"/>
          <w:szCs w:val="24"/>
        </w:rPr>
        <w:t>análise</w:t>
      </w:r>
      <w:r w:rsidRPr="001F0DF2">
        <w:rPr>
          <w:rFonts w:ascii="Times New Roman" w:hAnsi="Times New Roman"/>
          <w:sz w:val="24"/>
          <w:szCs w:val="24"/>
        </w:rPr>
        <w:t xml:space="preserve">: segmento individual; o SNV herda a </w:t>
      </w:r>
      <w:r w:rsidR="001F0DF2" w:rsidRPr="001F0DF2">
        <w:rPr>
          <w:rFonts w:ascii="Times New Roman" w:hAnsi="Times New Roman"/>
          <w:sz w:val="24"/>
          <w:szCs w:val="24"/>
        </w:rPr>
        <w:t>condição</w:t>
      </w:r>
      <w:r w:rsidRPr="001F0DF2">
        <w:rPr>
          <w:rFonts w:ascii="Times New Roman" w:hAnsi="Times New Roman"/>
          <w:sz w:val="24"/>
          <w:szCs w:val="24"/>
        </w:rPr>
        <w:t xml:space="preserve"> do pior segmento.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- Leitura da escala atual: menor </w:t>
      </w:r>
      <w:r w:rsidR="001F0DF2" w:rsidRPr="001F0DF2">
        <w:rPr>
          <w:rFonts w:ascii="Times New Roman" w:hAnsi="Times New Roman"/>
          <w:sz w:val="24"/>
          <w:szCs w:val="24"/>
        </w:rPr>
        <w:t>número</w:t>
      </w:r>
      <w:r w:rsidR="001F0DF2">
        <w:rPr>
          <w:rFonts w:ascii="Times New Roman" w:hAnsi="Times New Roman"/>
          <w:sz w:val="24"/>
          <w:szCs w:val="24"/>
        </w:rPr>
        <w:t xml:space="preserve"> significa maior prioridade.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Decisão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bCs/>
          <w:sz w:val="24"/>
          <w:szCs w:val="24"/>
        </w:rPr>
        <w:t>pendente:</w:t>
      </w:r>
      <w:r w:rsidRPr="001F0DF2">
        <w:rPr>
          <w:rFonts w:ascii="Times New Roman" w:hAnsi="Times New Roman"/>
          <w:sz w:val="24"/>
          <w:szCs w:val="24"/>
        </w:rPr>
        <w:t xml:space="preserve"> antes</w:t>
      </w:r>
      <w:r w:rsidR="000E7251" w:rsidRPr="001F0DF2">
        <w:rPr>
          <w:rFonts w:ascii="Times New Roman" w:hAnsi="Times New Roman"/>
          <w:sz w:val="24"/>
          <w:szCs w:val="24"/>
        </w:rPr>
        <w:t xml:space="preserve"> de alterar o sistema, estruturar e validar a regra de </w:t>
      </w:r>
      <w:r w:rsidRPr="001F0DF2">
        <w:rPr>
          <w:rFonts w:ascii="Times New Roman" w:hAnsi="Times New Roman"/>
          <w:sz w:val="24"/>
          <w:szCs w:val="24"/>
        </w:rPr>
        <w:t>priorização</w:t>
      </w:r>
      <w:r w:rsidR="000E7251" w:rsidRPr="001F0DF2">
        <w:rPr>
          <w:rFonts w:ascii="Times New Roman" w:hAnsi="Times New Roman"/>
          <w:sz w:val="24"/>
          <w:szCs w:val="24"/>
        </w:rPr>
        <w:t xml:space="preserve">, incluindo as </w:t>
      </w:r>
      <w:r w:rsidR="00C2382D">
        <w:rPr>
          <w:rFonts w:ascii="Times New Roman" w:hAnsi="Times New Roman"/>
          <w:sz w:val="24"/>
          <w:szCs w:val="24"/>
        </w:rPr>
        <w:t>fórmulas</w:t>
      </w:r>
      <w:r w:rsidR="000E7251" w:rsidRPr="001F0DF2">
        <w:rPr>
          <w:rFonts w:ascii="Times New Roman" w:hAnsi="Times New Roman"/>
          <w:sz w:val="24"/>
          <w:szCs w:val="24"/>
        </w:rPr>
        <w:t xml:space="preserve"> de </w:t>
      </w:r>
      <w:r w:rsidRPr="001F0DF2">
        <w:rPr>
          <w:rFonts w:ascii="Times New Roman" w:hAnsi="Times New Roman"/>
          <w:sz w:val="24"/>
          <w:szCs w:val="24"/>
        </w:rPr>
        <w:t>normalização</w:t>
      </w:r>
      <w:r w:rsidR="000E7251" w:rsidRPr="001F0DF2">
        <w:rPr>
          <w:rFonts w:ascii="Times New Roman" w:hAnsi="Times New Roman"/>
          <w:sz w:val="24"/>
          <w:szCs w:val="24"/>
        </w:rPr>
        <w:t xml:space="preserve"> de VMDA, IRI, DEF e </w:t>
      </w:r>
      <w:r w:rsidRPr="001F0DF2">
        <w:rPr>
          <w:rFonts w:ascii="Times New Roman" w:hAnsi="Times New Roman"/>
          <w:sz w:val="24"/>
          <w:szCs w:val="24"/>
        </w:rPr>
        <w:t>eficiência</w:t>
      </w:r>
      <w:r w:rsidR="000E7251" w:rsidRPr="001F0DF2">
        <w:rPr>
          <w:rFonts w:ascii="Times New Roman" w:hAnsi="Times New Roman"/>
          <w:sz w:val="24"/>
          <w:szCs w:val="24"/>
        </w:rPr>
        <w:t xml:space="preserve">, o </w:t>
      </w:r>
      <w:r w:rsidRPr="001F0DF2">
        <w:rPr>
          <w:rFonts w:ascii="Times New Roman" w:hAnsi="Times New Roman"/>
          <w:sz w:val="24"/>
          <w:szCs w:val="24"/>
        </w:rPr>
        <w:t>nível</w:t>
      </w:r>
      <w:r w:rsidR="000E7251" w:rsidRPr="001F0DF2">
        <w:rPr>
          <w:rFonts w:ascii="Times New Roman" w:hAnsi="Times New Roman"/>
          <w:sz w:val="24"/>
          <w:szCs w:val="24"/>
        </w:rPr>
        <w:t xml:space="preserve"> de agrupamento por </w:t>
      </w:r>
      <w:r w:rsidRPr="001F0DF2">
        <w:rPr>
          <w:rFonts w:ascii="Times New Roman" w:hAnsi="Times New Roman"/>
          <w:sz w:val="24"/>
          <w:szCs w:val="24"/>
        </w:rPr>
        <w:t>código</w:t>
      </w:r>
      <w:r w:rsidR="000E7251" w:rsidRPr="001F0DF2">
        <w:rPr>
          <w:rFonts w:ascii="Times New Roman" w:hAnsi="Times New Roman"/>
          <w:sz w:val="24"/>
          <w:szCs w:val="24"/>
        </w:rPr>
        <w:t xml:space="preserve">/SNV e o </w:t>
      </w:r>
      <w:r w:rsidR="004624C6">
        <w:rPr>
          <w:rFonts w:ascii="Times New Roman" w:hAnsi="Times New Roman"/>
          <w:sz w:val="24"/>
          <w:szCs w:val="24"/>
        </w:rPr>
        <w:t>sentido da escala de prioridade</w:t>
      </w:r>
      <w:r w:rsidR="000E7251" w:rsidRPr="001F0DF2">
        <w:rPr>
          <w:rFonts w:ascii="Times New Roman" w:hAnsi="Times New Roman"/>
          <w:sz w:val="24"/>
          <w:szCs w:val="24"/>
        </w:rPr>
        <w:t>.</w:t>
      </w:r>
    </w:p>
    <w:p w:rsid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1F0DF2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85A48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185A48">
        <w:rPr>
          <w:rFonts w:ascii="Times New Roman" w:hAnsi="Times New Roman"/>
          <w:b/>
          <w:bCs/>
          <w:sz w:val="24"/>
          <w:szCs w:val="24"/>
        </w:rPr>
        <w:lastRenderedPageBreak/>
        <w:t>3.2 Diagnóstico</w:t>
      </w:r>
    </w:p>
    <w:p w:rsidR="001F0DF2" w:rsidRDefault="00B4468E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-Filtros</w:t>
      </w:r>
    </w:p>
    <w:p w:rsidR="00335F08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O título da tela aparece como “Diagnóstico DNIT” mesmo quando a matriz selecionada é Paragon</w:t>
      </w:r>
      <w:r w:rsidR="004624C6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Centralizar as faixas e classificações técnicas utilizadas para a condição do pavimento. Parte dessas regras está gravada diretamente no código e também aparece em consult</w:t>
      </w:r>
      <w:r w:rsidR="004624C6">
        <w:rPr>
          <w:rFonts w:ascii="Times New Roman" w:hAnsi="Times New Roman"/>
          <w:sz w:val="24"/>
          <w:szCs w:val="24"/>
        </w:rPr>
        <w:t>as ao banco (manter tudo no banco, preferencialmente)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Unificar cores usadas em mapas, gráficos e tabelas para cada condição ou intervenção.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Confirmar quais informações devem aparecer ao selecionar um trecho e manter o mesmo padrão nas telas relacionadas.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Apuração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do IAP: pontos a validar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O IAP </w:t>
      </w:r>
      <w:r w:rsidR="00C2382D">
        <w:rPr>
          <w:rFonts w:ascii="Times New Roman" w:hAnsi="Times New Roman"/>
          <w:sz w:val="24"/>
          <w:szCs w:val="24"/>
        </w:rPr>
        <w:t xml:space="preserve">não é </w:t>
      </w:r>
      <w:r w:rsidRPr="001F0DF2">
        <w:rPr>
          <w:rFonts w:ascii="Times New Roman" w:hAnsi="Times New Roman"/>
          <w:sz w:val="24"/>
          <w:szCs w:val="24"/>
        </w:rPr>
        <w:t xml:space="preserve">calculado do zero pelo dashboard. A </w:t>
      </w:r>
      <w:r w:rsidR="001F0DF2" w:rsidRPr="001F0DF2">
        <w:rPr>
          <w:rFonts w:ascii="Times New Roman" w:hAnsi="Times New Roman"/>
          <w:sz w:val="24"/>
          <w:szCs w:val="24"/>
        </w:rPr>
        <w:t>aplicação</w:t>
      </w:r>
      <w:r w:rsidRPr="001F0DF2">
        <w:rPr>
          <w:rFonts w:ascii="Times New Roman" w:hAnsi="Times New Roman"/>
          <w:sz w:val="24"/>
          <w:szCs w:val="24"/>
        </w:rPr>
        <w:t xml:space="preserve"> consulta o valor iapa gravado na base de </w:t>
      </w:r>
      <w:r w:rsidR="001F0DF2" w:rsidRPr="001F0DF2">
        <w:rPr>
          <w:rFonts w:ascii="Times New Roman" w:hAnsi="Times New Roman"/>
          <w:sz w:val="24"/>
          <w:szCs w:val="24"/>
        </w:rPr>
        <w:t>intervenções</w:t>
      </w:r>
      <w:r w:rsidRPr="001F0DF2">
        <w:rPr>
          <w:rFonts w:ascii="Times New Roman" w:hAnsi="Times New Roman"/>
          <w:sz w:val="24"/>
          <w:szCs w:val="24"/>
        </w:rPr>
        <w:t xml:space="preserve">, filtra por rodovia, </w:t>
      </w:r>
      <w:r w:rsidR="00C2382D">
        <w:rPr>
          <w:rFonts w:ascii="Times New Roman" w:hAnsi="Times New Roman"/>
          <w:sz w:val="24"/>
          <w:szCs w:val="24"/>
        </w:rPr>
        <w:t>análise</w:t>
      </w:r>
      <w:r w:rsidRPr="001F0DF2">
        <w:rPr>
          <w:rFonts w:ascii="Times New Roman" w:hAnsi="Times New Roman"/>
          <w:sz w:val="24"/>
          <w:szCs w:val="24"/>
        </w:rPr>
        <w:t xml:space="preserve">, ciclo e ano, converte o valor para a escala exibida e calcula a </w:t>
      </w:r>
      <w:r w:rsidR="001F0DF2" w:rsidRPr="001F0DF2">
        <w:rPr>
          <w:rFonts w:ascii="Times New Roman" w:hAnsi="Times New Roman"/>
          <w:sz w:val="24"/>
          <w:szCs w:val="24"/>
        </w:rPr>
        <w:t>média</w:t>
      </w:r>
      <w:r w:rsidRPr="001F0DF2">
        <w:rPr>
          <w:rFonts w:ascii="Times New Roman" w:hAnsi="Times New Roman"/>
          <w:sz w:val="24"/>
          <w:szCs w:val="24"/>
        </w:rPr>
        <w:t xml:space="preserve"> ponderada pela </w:t>
      </w:r>
      <w:r w:rsidR="001F0DF2" w:rsidRPr="001F0DF2">
        <w:rPr>
          <w:rFonts w:ascii="Times New Roman" w:hAnsi="Times New Roman"/>
          <w:sz w:val="24"/>
          <w:szCs w:val="24"/>
        </w:rPr>
        <w:t>extensão</w:t>
      </w:r>
      <w:r w:rsidRPr="001F0DF2">
        <w:rPr>
          <w:rFonts w:ascii="Times New Roman" w:hAnsi="Times New Roman"/>
          <w:sz w:val="24"/>
          <w:szCs w:val="24"/>
        </w:rPr>
        <w:t xml:space="preserve"> de cada trecho.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 xml:space="preserve">Regra de </w:t>
      </w:r>
      <w:r w:rsidR="001F0DF2" w:rsidRPr="001F0DF2">
        <w:rPr>
          <w:rFonts w:ascii="Times New Roman" w:hAnsi="Times New Roman"/>
          <w:bCs/>
          <w:sz w:val="24"/>
          <w:szCs w:val="24"/>
        </w:rPr>
        <w:t>conversão</w:t>
      </w:r>
      <w:r w:rsidRPr="001F0DF2">
        <w:rPr>
          <w:rFonts w:ascii="Times New Roman" w:hAnsi="Times New Roman"/>
          <w:bCs/>
          <w:sz w:val="24"/>
          <w:szCs w:val="24"/>
        </w:rPr>
        <w:t xml:space="preserve"> por trecho:</w:t>
      </w:r>
      <w:r w:rsid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sz w:val="24"/>
          <w:szCs w:val="24"/>
        </w:rPr>
        <w:t xml:space="preserve">IAP exibido </w:t>
      </w:r>
      <w:r w:rsidR="00185A48" w:rsidRPr="001F0DF2">
        <w:rPr>
          <w:rFonts w:ascii="Times New Roman" w:hAnsi="Times New Roman"/>
          <w:sz w:val="24"/>
          <w:szCs w:val="24"/>
        </w:rPr>
        <w:t>=</w:t>
      </w:r>
      <w:r w:rsidR="00185A48">
        <w:rPr>
          <w:rFonts w:ascii="Times New Roman" w:hAnsi="Times New Roman"/>
          <w:sz w:val="24"/>
          <w:szCs w:val="24"/>
        </w:rPr>
        <w:t xml:space="preserve"> </w:t>
      </w:r>
      <w:r w:rsidR="00517022">
        <w:rPr>
          <w:rFonts w:ascii="Times New Roman" w:hAnsi="Times New Roman"/>
          <w:sz w:val="24"/>
          <w:szCs w:val="24"/>
        </w:rPr>
        <w:t>“analise_gerencial_intervencoes_iap”</w:t>
      </w:r>
      <w:r w:rsidR="00185A48">
        <w:rPr>
          <w:rFonts w:ascii="Times New Roman" w:hAnsi="Times New Roman"/>
          <w:sz w:val="24"/>
          <w:szCs w:val="24"/>
        </w:rPr>
        <w:t>(</w:t>
      </w:r>
      <w:r w:rsidRPr="001F0DF2">
        <w:rPr>
          <w:rFonts w:ascii="Times New Roman" w:hAnsi="Times New Roman"/>
          <w:sz w:val="24"/>
          <w:szCs w:val="24"/>
        </w:rPr>
        <w:t>iapa</w:t>
      </w:r>
      <w:r w:rsidR="00185A48">
        <w:rPr>
          <w:rFonts w:ascii="Times New Roman" w:hAnsi="Times New Roman"/>
          <w:sz w:val="24"/>
          <w:szCs w:val="24"/>
        </w:rPr>
        <w:t>)</w:t>
      </w:r>
      <w:r w:rsidRPr="001F0DF2">
        <w:rPr>
          <w:rFonts w:ascii="Times New Roman" w:hAnsi="Times New Roman"/>
          <w:sz w:val="24"/>
          <w:szCs w:val="24"/>
        </w:rPr>
        <w:t xml:space="preserve"> / 100.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Exemplos da consulta de banco enviada para esta </w:t>
      </w:r>
      <w:r w:rsidR="00C2382D">
        <w:rPr>
          <w:rFonts w:ascii="Times New Roman" w:hAnsi="Times New Roman"/>
          <w:sz w:val="24"/>
          <w:szCs w:val="24"/>
        </w:rPr>
        <w:t>análise</w:t>
      </w:r>
      <w:r w:rsidRPr="001F0DF2">
        <w:rPr>
          <w:rFonts w:ascii="Times New Roman" w:hAnsi="Times New Roman"/>
          <w:sz w:val="24"/>
          <w:szCs w:val="24"/>
        </w:rPr>
        <w:t xml:space="preserve">: iapa = 535 corresponde a IAP 5,35; iapa = 335 corresponde a IAP 3,35; e iapa = 225 corresponde a IAP 2,25. A coluna ano identifica o ano associado ao registro de </w:t>
      </w:r>
      <w:r w:rsidR="001F0DF2" w:rsidRPr="001F0DF2">
        <w:rPr>
          <w:rFonts w:ascii="Times New Roman" w:hAnsi="Times New Roman"/>
          <w:sz w:val="24"/>
          <w:szCs w:val="24"/>
        </w:rPr>
        <w:t>projeção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1. Ano usado na tela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Quando o ano </w:t>
      </w:r>
      <w:r w:rsidR="00C2382D">
        <w:rPr>
          <w:rFonts w:ascii="Times New Roman" w:hAnsi="Times New Roman"/>
          <w:sz w:val="24"/>
          <w:szCs w:val="24"/>
        </w:rPr>
        <w:t xml:space="preserve">não é </w:t>
      </w:r>
      <w:r w:rsidRPr="001F0DF2">
        <w:rPr>
          <w:rFonts w:ascii="Times New Roman" w:hAnsi="Times New Roman"/>
          <w:sz w:val="24"/>
          <w:szCs w:val="24"/>
        </w:rPr>
        <w:t xml:space="preserve">informado, a </w:t>
      </w:r>
      <w:r w:rsidR="001F0DF2" w:rsidRPr="001F0DF2">
        <w:rPr>
          <w:rFonts w:ascii="Times New Roman" w:hAnsi="Times New Roman"/>
          <w:sz w:val="24"/>
          <w:szCs w:val="24"/>
        </w:rPr>
        <w:t>aplicação</w:t>
      </w:r>
      <w:r w:rsidRPr="001F0DF2">
        <w:rPr>
          <w:rFonts w:ascii="Times New Roman" w:hAnsi="Times New Roman"/>
          <w:sz w:val="24"/>
          <w:szCs w:val="24"/>
        </w:rPr>
        <w:t xml:space="preserve"> utiliza o primeiro ano de </w:t>
      </w:r>
      <w:r w:rsidR="001F0DF2" w:rsidRPr="001F0DF2">
        <w:rPr>
          <w:rFonts w:ascii="Times New Roman" w:hAnsi="Times New Roman"/>
          <w:sz w:val="24"/>
          <w:szCs w:val="24"/>
        </w:rPr>
        <w:t>projeção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disponível</w:t>
      </w:r>
      <w:r w:rsidRPr="001F0DF2">
        <w:rPr>
          <w:rFonts w:ascii="Times New Roman" w:hAnsi="Times New Roman"/>
          <w:sz w:val="24"/>
          <w:szCs w:val="24"/>
        </w:rPr>
        <w:t xml:space="preserve"> do ciclo. Esse ano pode ser diferente do ano que o </w:t>
      </w:r>
      <w:r w:rsidR="001F0DF2" w:rsidRPr="001F0DF2">
        <w:rPr>
          <w:rFonts w:ascii="Times New Roman" w:hAnsi="Times New Roman"/>
          <w:sz w:val="24"/>
          <w:szCs w:val="24"/>
        </w:rPr>
        <w:t>usuário</w:t>
      </w:r>
      <w:r w:rsidRPr="001F0DF2">
        <w:rPr>
          <w:rFonts w:ascii="Times New Roman" w:hAnsi="Times New Roman"/>
          <w:sz w:val="24"/>
          <w:szCs w:val="24"/>
        </w:rPr>
        <w:t xml:space="preserve"> espera consultar. Deve-se confirmar se o Diagnostico deve exibir o ano-base, o ano da </w:t>
      </w:r>
      <w:r w:rsidR="001F0DF2" w:rsidRPr="001F0DF2">
        <w:rPr>
          <w:rFonts w:ascii="Times New Roman" w:hAnsi="Times New Roman"/>
          <w:sz w:val="24"/>
          <w:szCs w:val="24"/>
        </w:rPr>
        <w:t>inspeção</w:t>
      </w:r>
      <w:r w:rsidRPr="001F0DF2">
        <w:rPr>
          <w:rFonts w:ascii="Times New Roman" w:hAnsi="Times New Roman"/>
          <w:sz w:val="24"/>
          <w:szCs w:val="24"/>
        </w:rPr>
        <w:t xml:space="preserve"> ou permitir escolha </w:t>
      </w:r>
      <w:r w:rsidR="00C2382D">
        <w:rPr>
          <w:rFonts w:ascii="Times New Roman" w:hAnsi="Times New Roman"/>
          <w:sz w:val="24"/>
          <w:szCs w:val="24"/>
        </w:rPr>
        <w:t>explícita</w:t>
      </w:r>
      <w:r w:rsidRPr="001F0DF2">
        <w:rPr>
          <w:rFonts w:ascii="Times New Roman" w:hAnsi="Times New Roman"/>
          <w:sz w:val="24"/>
          <w:szCs w:val="24"/>
        </w:rPr>
        <w:t xml:space="preserve"> de ano.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 xml:space="preserve">2. Faixas de </w:t>
      </w:r>
      <w:r w:rsidR="001F0DF2" w:rsidRPr="001F0DF2">
        <w:rPr>
          <w:rFonts w:ascii="Times New Roman" w:hAnsi="Times New Roman"/>
          <w:bCs/>
          <w:sz w:val="24"/>
          <w:szCs w:val="24"/>
        </w:rPr>
        <w:t>classificação</w:t>
      </w:r>
    </w:p>
    <w:p w:rsidR="005F06CF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A regra </w:t>
      </w:r>
      <w:r w:rsidR="001F0DF2" w:rsidRPr="001F0DF2">
        <w:rPr>
          <w:rFonts w:ascii="Times New Roman" w:hAnsi="Times New Roman"/>
          <w:sz w:val="24"/>
          <w:szCs w:val="24"/>
        </w:rPr>
        <w:t>numérica</w:t>
      </w:r>
      <w:r w:rsidRPr="001F0DF2">
        <w:rPr>
          <w:rFonts w:ascii="Times New Roman" w:hAnsi="Times New Roman"/>
          <w:sz w:val="24"/>
          <w:szCs w:val="24"/>
        </w:rPr>
        <w:t xml:space="preserve"> passa de ++ Regular para - Regular; a categoria + Regular existe em referencias visuais, mas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possui faixa </w:t>
      </w:r>
      <w:r w:rsidR="001F0DF2" w:rsidRPr="001F0DF2">
        <w:rPr>
          <w:rFonts w:ascii="Times New Roman" w:hAnsi="Times New Roman"/>
          <w:sz w:val="24"/>
          <w:szCs w:val="24"/>
        </w:rPr>
        <w:t>própria</w:t>
      </w:r>
      <w:r w:rsidRPr="001F0DF2">
        <w:rPr>
          <w:rFonts w:ascii="Times New Roman" w:hAnsi="Times New Roman"/>
          <w:sz w:val="24"/>
          <w:szCs w:val="24"/>
        </w:rPr>
        <w:t xml:space="preserve"> na regra atual. As faixas oficiais do IAP devem ser validadas antes de qualquer ajuste.</w:t>
      </w:r>
    </w:p>
    <w:p w:rsidR="005F06CF" w:rsidRDefault="005F06CF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Classes atualmente apresentadas no dashboard: Excelente, Bom, ++ Regular, + Regu</w:t>
      </w:r>
      <w:r w:rsidR="00335F08">
        <w:rPr>
          <w:rFonts w:ascii="Times New Roman" w:hAnsi="Times New Roman"/>
          <w:sz w:val="24"/>
          <w:szCs w:val="24"/>
        </w:rPr>
        <w:t>lar, - Regular, Mau e Péssimo.</w:t>
      </w:r>
      <w:r w:rsidR="00335F08"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t xml:space="preserve">Faixas atualmente aplicadas na classificação numérica: </w:t>
      </w:r>
      <w:r w:rsidR="00335F08">
        <w:rPr>
          <w:rFonts w:ascii="Times New Roman" w:hAnsi="Times New Roman"/>
          <w:sz w:val="24"/>
          <w:szCs w:val="24"/>
        </w:rPr>
        <w:br/>
      </w:r>
      <w:r w:rsidRPr="00335F08">
        <w:rPr>
          <w:rFonts w:ascii="Times New Roman" w:hAnsi="Times New Roman"/>
          <w:b/>
          <w:sz w:val="24"/>
          <w:szCs w:val="24"/>
        </w:rPr>
        <w:t xml:space="preserve">Excelente (IAP &gt;= 4,01); </w:t>
      </w:r>
      <w:r w:rsidR="00335F08" w:rsidRPr="00335F08">
        <w:rPr>
          <w:rFonts w:ascii="Times New Roman" w:hAnsi="Times New Roman"/>
          <w:b/>
          <w:sz w:val="24"/>
          <w:szCs w:val="24"/>
        </w:rPr>
        <w:br/>
      </w:r>
      <w:r w:rsidRPr="00335F08">
        <w:rPr>
          <w:rFonts w:ascii="Times New Roman" w:hAnsi="Times New Roman"/>
          <w:b/>
          <w:sz w:val="24"/>
          <w:szCs w:val="24"/>
        </w:rPr>
        <w:t xml:space="preserve">Bom (3,01 a 4,00); </w:t>
      </w:r>
      <w:r w:rsidR="00335F08" w:rsidRPr="00335F08">
        <w:rPr>
          <w:rFonts w:ascii="Times New Roman" w:hAnsi="Times New Roman"/>
          <w:b/>
          <w:sz w:val="24"/>
          <w:szCs w:val="24"/>
        </w:rPr>
        <w:br/>
      </w:r>
      <w:r w:rsidRPr="00335F08">
        <w:rPr>
          <w:rFonts w:ascii="Times New Roman" w:hAnsi="Times New Roman"/>
          <w:b/>
          <w:sz w:val="24"/>
          <w:szCs w:val="24"/>
        </w:rPr>
        <w:t xml:space="preserve">++ Regular (2,51 a 3,00); </w:t>
      </w:r>
      <w:r w:rsidR="00335F08" w:rsidRPr="00335F08">
        <w:rPr>
          <w:rFonts w:ascii="Times New Roman" w:hAnsi="Times New Roman"/>
          <w:b/>
          <w:sz w:val="24"/>
          <w:szCs w:val="24"/>
        </w:rPr>
        <w:br/>
      </w:r>
      <w:r w:rsidRPr="00335F08">
        <w:rPr>
          <w:rFonts w:ascii="Times New Roman" w:hAnsi="Times New Roman"/>
          <w:b/>
          <w:sz w:val="24"/>
          <w:szCs w:val="24"/>
        </w:rPr>
        <w:t xml:space="preserve">- Regular (2,01 a 2,50); </w:t>
      </w:r>
      <w:r w:rsidR="00335F08" w:rsidRPr="00335F08">
        <w:rPr>
          <w:rFonts w:ascii="Times New Roman" w:hAnsi="Times New Roman"/>
          <w:b/>
          <w:sz w:val="24"/>
          <w:szCs w:val="24"/>
        </w:rPr>
        <w:br/>
        <w:t xml:space="preserve">Mau (1,01 a 2,00); </w:t>
      </w:r>
      <w:r w:rsidR="00335F08" w:rsidRPr="00335F08">
        <w:rPr>
          <w:rFonts w:ascii="Times New Roman" w:hAnsi="Times New Roman"/>
          <w:b/>
          <w:sz w:val="24"/>
          <w:szCs w:val="24"/>
        </w:rPr>
        <w:br/>
      </w:r>
      <w:r w:rsidRPr="00335F08">
        <w:rPr>
          <w:rFonts w:ascii="Times New Roman" w:hAnsi="Times New Roman"/>
          <w:b/>
          <w:sz w:val="24"/>
          <w:szCs w:val="24"/>
        </w:rPr>
        <w:t>Péssimo (até 1,00).</w:t>
      </w:r>
      <w:r>
        <w:rPr>
          <w:rFonts w:ascii="Times New Roman" w:hAnsi="Times New Roman"/>
          <w:sz w:val="24"/>
          <w:szCs w:val="24"/>
        </w:rPr>
        <w:t xml:space="preserve"> </w:t>
      </w:r>
      <w:r w:rsidR="00335F08"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t>A classe + Regular aparece na legenda e pode ser atribuída pela solução corretiva, mas não possui faixa própria no cálculo numérico atual.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3. Cor/classe no mapa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Quando existe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 corretiva, o mapa pode classificar o trecho pela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, e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pelo IAP </w:t>
      </w:r>
      <w:r w:rsidR="001F0DF2" w:rsidRPr="001F0DF2">
        <w:rPr>
          <w:rFonts w:ascii="Times New Roman" w:hAnsi="Times New Roman"/>
          <w:sz w:val="24"/>
          <w:szCs w:val="24"/>
        </w:rPr>
        <w:t>numérico</w:t>
      </w:r>
      <w:r w:rsidRPr="001F0DF2">
        <w:rPr>
          <w:rFonts w:ascii="Times New Roman" w:hAnsi="Times New Roman"/>
          <w:sz w:val="24"/>
          <w:szCs w:val="24"/>
        </w:rPr>
        <w:t xml:space="preserve">. Por exemplo, um IAP 2,25 pode aparecer como </w:t>
      </w:r>
      <w:r w:rsidR="001F0DF2" w:rsidRPr="001F0DF2">
        <w:rPr>
          <w:rFonts w:ascii="Times New Roman" w:hAnsi="Times New Roman"/>
          <w:sz w:val="24"/>
          <w:szCs w:val="24"/>
        </w:rPr>
        <w:t>Péssimo</w:t>
      </w:r>
      <w:r w:rsidRPr="001F0DF2">
        <w:rPr>
          <w:rFonts w:ascii="Times New Roman" w:hAnsi="Times New Roman"/>
          <w:sz w:val="24"/>
          <w:szCs w:val="24"/>
        </w:rPr>
        <w:t xml:space="preserve"> se tiver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 REC. Deve-se definir se o mapa representa a </w:t>
      </w:r>
      <w:r w:rsidR="001F0DF2" w:rsidRPr="001F0DF2">
        <w:rPr>
          <w:rFonts w:ascii="Times New Roman" w:hAnsi="Times New Roman"/>
          <w:sz w:val="24"/>
          <w:szCs w:val="24"/>
        </w:rPr>
        <w:t>condição</w:t>
      </w:r>
      <w:r w:rsidRPr="001F0DF2">
        <w:rPr>
          <w:rFonts w:ascii="Times New Roman" w:hAnsi="Times New Roman"/>
          <w:sz w:val="24"/>
          <w:szCs w:val="24"/>
        </w:rPr>
        <w:t xml:space="preserve"> medida, a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 recomendada ou as duas leituras de forma separada.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4. Regra duplicada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As faixas de </w:t>
      </w:r>
      <w:r w:rsidR="001F0DF2" w:rsidRPr="001F0DF2">
        <w:rPr>
          <w:rFonts w:ascii="Times New Roman" w:hAnsi="Times New Roman"/>
          <w:sz w:val="24"/>
          <w:szCs w:val="24"/>
        </w:rPr>
        <w:t>classificação</w:t>
      </w:r>
      <w:r w:rsidRPr="001F0DF2">
        <w:rPr>
          <w:rFonts w:ascii="Times New Roman" w:hAnsi="Times New Roman"/>
          <w:sz w:val="24"/>
          <w:szCs w:val="24"/>
        </w:rPr>
        <w:t xml:space="preserve"> existem tanto no </w:t>
      </w:r>
      <w:r w:rsidR="001F0DF2" w:rsidRPr="001F0DF2">
        <w:rPr>
          <w:rFonts w:ascii="Times New Roman" w:hAnsi="Times New Roman"/>
          <w:sz w:val="24"/>
          <w:szCs w:val="24"/>
        </w:rPr>
        <w:t>código</w:t>
      </w:r>
      <w:r w:rsidRPr="001F0DF2">
        <w:rPr>
          <w:rFonts w:ascii="Times New Roman" w:hAnsi="Times New Roman"/>
          <w:sz w:val="24"/>
          <w:szCs w:val="24"/>
        </w:rPr>
        <w:t xml:space="preserve"> Python quanto na consulta ao banco. A regra deve ser centralizada para impedir </w:t>
      </w:r>
      <w:r w:rsidR="001F0DF2" w:rsidRPr="001F0DF2">
        <w:rPr>
          <w:rFonts w:ascii="Times New Roman" w:hAnsi="Times New Roman"/>
          <w:sz w:val="24"/>
          <w:szCs w:val="24"/>
        </w:rPr>
        <w:t>divergência</w:t>
      </w:r>
      <w:r w:rsidRPr="001F0DF2">
        <w:rPr>
          <w:rFonts w:ascii="Times New Roman" w:hAnsi="Times New Roman"/>
          <w:sz w:val="24"/>
          <w:szCs w:val="24"/>
        </w:rPr>
        <w:t xml:space="preserve"> em </w:t>
      </w:r>
      <w:r w:rsidR="001F0DF2" w:rsidRPr="001F0DF2">
        <w:rPr>
          <w:rFonts w:ascii="Times New Roman" w:hAnsi="Times New Roman"/>
          <w:sz w:val="24"/>
          <w:szCs w:val="24"/>
        </w:rPr>
        <w:t>atualizações</w:t>
      </w:r>
      <w:r w:rsidR="00185A48">
        <w:rPr>
          <w:rFonts w:ascii="Times New Roman" w:hAnsi="Times New Roman"/>
          <w:sz w:val="24"/>
          <w:szCs w:val="24"/>
        </w:rPr>
        <w:t xml:space="preserve"> futuras (preferencialmente no banco)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 xml:space="preserve">Risco </w:t>
      </w:r>
      <w:r w:rsidR="001F0DF2" w:rsidRPr="001F0DF2">
        <w:rPr>
          <w:rFonts w:ascii="Times New Roman" w:hAnsi="Times New Roman"/>
          <w:bCs/>
          <w:sz w:val="24"/>
          <w:szCs w:val="24"/>
        </w:rPr>
        <w:t>atual:</w:t>
      </w:r>
      <w:r w:rsidR="001F0DF2" w:rsidRPr="001F0DF2">
        <w:rPr>
          <w:rFonts w:ascii="Times New Roman" w:hAnsi="Times New Roman"/>
          <w:sz w:val="24"/>
          <w:szCs w:val="24"/>
        </w:rPr>
        <w:t xml:space="preserve"> 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usuário</w:t>
      </w:r>
      <w:r w:rsidRPr="001F0DF2">
        <w:rPr>
          <w:rFonts w:ascii="Times New Roman" w:hAnsi="Times New Roman"/>
          <w:sz w:val="24"/>
          <w:szCs w:val="24"/>
        </w:rPr>
        <w:t xml:space="preserve"> pode interpretar mapa, indicador e tabela como se todos mostrassem a mesma </w:t>
      </w:r>
      <w:r w:rsidR="001F0DF2" w:rsidRPr="001F0DF2">
        <w:rPr>
          <w:rFonts w:ascii="Times New Roman" w:hAnsi="Times New Roman"/>
          <w:sz w:val="24"/>
          <w:szCs w:val="24"/>
        </w:rPr>
        <w:t>dimensão</w:t>
      </w:r>
      <w:r w:rsidRPr="001F0DF2">
        <w:rPr>
          <w:rFonts w:ascii="Times New Roman" w:hAnsi="Times New Roman"/>
          <w:sz w:val="24"/>
          <w:szCs w:val="24"/>
        </w:rPr>
        <w:t xml:space="preserve"> do IAP, quando parte da </w:t>
      </w:r>
      <w:r w:rsidR="001F0DF2" w:rsidRPr="001F0DF2">
        <w:rPr>
          <w:rFonts w:ascii="Times New Roman" w:hAnsi="Times New Roman"/>
          <w:sz w:val="24"/>
          <w:szCs w:val="24"/>
        </w:rPr>
        <w:t>visualização</w:t>
      </w:r>
      <w:r w:rsidRPr="001F0DF2">
        <w:rPr>
          <w:rFonts w:ascii="Times New Roman" w:hAnsi="Times New Roman"/>
          <w:sz w:val="24"/>
          <w:szCs w:val="24"/>
        </w:rPr>
        <w:t xml:space="preserve"> pode estar refletindo a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 corretiva. A </w:t>
      </w:r>
      <w:r w:rsidR="001F0DF2" w:rsidRPr="001F0DF2">
        <w:rPr>
          <w:rFonts w:ascii="Times New Roman" w:hAnsi="Times New Roman"/>
          <w:sz w:val="24"/>
          <w:szCs w:val="24"/>
        </w:rPr>
        <w:t>validação</w:t>
      </w:r>
      <w:r w:rsidRPr="001F0DF2">
        <w:rPr>
          <w:rFonts w:ascii="Times New Roman" w:hAnsi="Times New Roman"/>
          <w:sz w:val="24"/>
          <w:szCs w:val="24"/>
        </w:rPr>
        <w:t xml:space="preserve"> deve comparar uma rodovia, pista/faixa e trecho conhecidos com o valor bruto do banco antes de qualquer </w:t>
      </w:r>
      <w:r w:rsidR="001F0DF2" w:rsidRPr="001F0DF2">
        <w:rPr>
          <w:rFonts w:ascii="Times New Roman" w:hAnsi="Times New Roman"/>
          <w:sz w:val="24"/>
          <w:szCs w:val="24"/>
        </w:rPr>
        <w:t>alteração</w:t>
      </w:r>
      <w:r w:rsidRPr="001F0DF2">
        <w:rPr>
          <w:rFonts w:ascii="Times New Roman" w:hAnsi="Times New Roman"/>
          <w:sz w:val="24"/>
          <w:szCs w:val="24"/>
        </w:rPr>
        <w:t xml:space="preserve"> de regra.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Inconsistência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entre mapa e rosca de </w:t>
      </w:r>
      <w:r w:rsidRPr="001F0DF2">
        <w:rPr>
          <w:rFonts w:ascii="Times New Roman" w:hAnsi="Times New Roman"/>
          <w:bCs/>
          <w:sz w:val="24"/>
          <w:szCs w:val="24"/>
        </w:rPr>
        <w:t>Distribuição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IAP</w:t>
      </w:r>
    </w:p>
    <w:p w:rsidR="001F0DF2" w:rsidRPr="001F0DF2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Evidência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bCs/>
          <w:sz w:val="24"/>
          <w:szCs w:val="24"/>
        </w:rPr>
        <w:t>observada:</w:t>
      </w:r>
      <w:r w:rsidR="001F0DF2" w:rsidRPr="001F0DF2">
        <w:rPr>
          <w:rFonts w:ascii="Times New Roman" w:hAnsi="Times New Roman"/>
          <w:sz w:val="24"/>
          <w:szCs w:val="24"/>
        </w:rPr>
        <w:t xml:space="preserve"> a</w:t>
      </w:r>
      <w:r w:rsidR="000E7251" w:rsidRPr="001F0DF2">
        <w:rPr>
          <w:rFonts w:ascii="Times New Roman" w:hAnsi="Times New Roman"/>
          <w:sz w:val="24"/>
          <w:szCs w:val="24"/>
        </w:rPr>
        <w:t xml:space="preserve"> captura da tela mostra trechos azuis classificados como Excelente no mapa, enquanto a rosca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="000E7251" w:rsidRPr="001F0DF2">
        <w:rPr>
          <w:rFonts w:ascii="Times New Roman" w:hAnsi="Times New Roman"/>
          <w:sz w:val="24"/>
          <w:szCs w:val="24"/>
        </w:rPr>
        <w:t xml:space="preserve"> apresenta essa faixa e exibe apenas parcelas relacionadas </w:t>
      </w:r>
      <w:r w:rsidR="001F0DF2" w:rsidRPr="001F0DF2">
        <w:rPr>
          <w:rFonts w:ascii="Times New Roman" w:hAnsi="Times New Roman"/>
          <w:sz w:val="24"/>
          <w:szCs w:val="24"/>
        </w:rPr>
        <w:t>às</w:t>
      </w:r>
      <w:r w:rsidR="000E7251"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intervenções</w:t>
      </w:r>
      <w:r w:rsidR="000E7251" w:rsidRPr="001F0DF2">
        <w:rPr>
          <w:rFonts w:ascii="Times New Roman" w:hAnsi="Times New Roman"/>
          <w:sz w:val="24"/>
          <w:szCs w:val="24"/>
        </w:rPr>
        <w:t xml:space="preserve">. O IAP </w:t>
      </w:r>
      <w:r w:rsidR="001F0DF2" w:rsidRPr="001F0DF2">
        <w:rPr>
          <w:rFonts w:ascii="Times New Roman" w:hAnsi="Times New Roman"/>
          <w:sz w:val="24"/>
          <w:szCs w:val="24"/>
        </w:rPr>
        <w:t>médio</w:t>
      </w:r>
      <w:r w:rsidR="000E7251" w:rsidRPr="001F0DF2">
        <w:rPr>
          <w:rFonts w:ascii="Times New Roman" w:hAnsi="Times New Roman"/>
          <w:sz w:val="24"/>
          <w:szCs w:val="24"/>
        </w:rPr>
        <w:t xml:space="preserve"> mostrado no centro da rosca, 4,91,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="000E7251" w:rsidRPr="001F0DF2">
        <w:rPr>
          <w:rFonts w:ascii="Times New Roman" w:hAnsi="Times New Roman"/>
          <w:sz w:val="24"/>
          <w:szCs w:val="24"/>
        </w:rPr>
        <w:t xml:space="preserve"> deve ser interpretado como a </w:t>
      </w:r>
      <w:r w:rsidR="001F0DF2" w:rsidRPr="001F0DF2">
        <w:rPr>
          <w:rFonts w:ascii="Times New Roman" w:hAnsi="Times New Roman"/>
          <w:sz w:val="24"/>
          <w:szCs w:val="24"/>
        </w:rPr>
        <w:t>média</w:t>
      </w:r>
      <w:r w:rsidR="000E7251" w:rsidRPr="001F0DF2">
        <w:rPr>
          <w:rFonts w:ascii="Times New Roman" w:hAnsi="Times New Roman"/>
          <w:sz w:val="24"/>
          <w:szCs w:val="24"/>
        </w:rPr>
        <w:t xml:space="preserve"> das faixas desenhadas no anel.</w:t>
      </w:r>
    </w:p>
    <w:p w:rsidR="000E7251" w:rsidRDefault="00F463B2" w:rsidP="00185A48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noProof/>
          <w:sz w:val="24"/>
          <w:szCs w:val="24"/>
        </w:rPr>
      </w:pPr>
      <w:r w:rsidRPr="001F0DF2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>
            <wp:extent cx="4556125" cy="316484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12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4474" w:rsidRPr="001F0DF2" w:rsidRDefault="004F4474" w:rsidP="00185A48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Mapa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Para trechos com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, usa a classe associada a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; sem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, usa o IAP </w:t>
      </w:r>
      <w:r w:rsidR="001F0DF2" w:rsidRPr="001F0DF2">
        <w:rPr>
          <w:rFonts w:ascii="Times New Roman" w:hAnsi="Times New Roman"/>
          <w:sz w:val="24"/>
          <w:szCs w:val="24"/>
        </w:rPr>
        <w:t>numérico</w:t>
      </w:r>
      <w:r w:rsidRPr="001F0DF2">
        <w:rPr>
          <w:rFonts w:ascii="Times New Roman" w:hAnsi="Times New Roman"/>
          <w:sz w:val="24"/>
          <w:szCs w:val="24"/>
        </w:rPr>
        <w:t xml:space="preserve">. Um trecho azul pode ser Excelente pelo valor </w:t>
      </w:r>
      <w:r w:rsidR="001F0DF2" w:rsidRPr="001F0DF2">
        <w:rPr>
          <w:rFonts w:ascii="Times New Roman" w:hAnsi="Times New Roman"/>
          <w:sz w:val="24"/>
          <w:szCs w:val="24"/>
        </w:rPr>
        <w:t>numérico</w:t>
      </w:r>
      <w:r w:rsidRPr="001F0DF2">
        <w:rPr>
          <w:rFonts w:ascii="Times New Roman" w:hAnsi="Times New Roman"/>
          <w:sz w:val="24"/>
          <w:szCs w:val="24"/>
        </w:rPr>
        <w:t xml:space="preserve"> do IAP e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possuir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 corretiva.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 xml:space="preserve">Rosca intitulada </w:t>
      </w:r>
      <w:r w:rsidR="001F0DF2" w:rsidRPr="001F0DF2">
        <w:rPr>
          <w:rFonts w:ascii="Times New Roman" w:hAnsi="Times New Roman"/>
          <w:bCs/>
          <w:sz w:val="24"/>
          <w:szCs w:val="24"/>
        </w:rPr>
        <w:t>Distribuição</w:t>
      </w:r>
      <w:r w:rsidRPr="001F0DF2">
        <w:rPr>
          <w:rFonts w:ascii="Times New Roman" w:hAnsi="Times New Roman"/>
          <w:bCs/>
          <w:sz w:val="24"/>
          <w:szCs w:val="24"/>
        </w:rPr>
        <w:t xml:space="preserve"> IAP</w:t>
      </w:r>
    </w:p>
    <w:p w:rsidR="005F06CF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Recebe a </w:t>
      </w:r>
      <w:r w:rsidR="001F0DF2" w:rsidRPr="001F0DF2">
        <w:rPr>
          <w:rFonts w:ascii="Times New Roman" w:hAnsi="Times New Roman"/>
          <w:sz w:val="24"/>
          <w:szCs w:val="24"/>
        </w:rPr>
        <w:t>composição</w:t>
      </w:r>
      <w:r w:rsidRPr="001F0DF2">
        <w:rPr>
          <w:rFonts w:ascii="Times New Roman" w:hAnsi="Times New Roman"/>
          <w:sz w:val="24"/>
          <w:szCs w:val="24"/>
        </w:rPr>
        <w:t xml:space="preserve"> das </w:t>
      </w:r>
      <w:r w:rsidR="001F0DF2" w:rsidRPr="001F0DF2">
        <w:rPr>
          <w:rFonts w:ascii="Times New Roman" w:hAnsi="Times New Roman"/>
          <w:sz w:val="24"/>
          <w:szCs w:val="24"/>
        </w:rPr>
        <w:t>soluções</w:t>
      </w:r>
      <w:r w:rsidRPr="001F0DF2">
        <w:rPr>
          <w:rFonts w:ascii="Times New Roman" w:hAnsi="Times New Roman"/>
          <w:sz w:val="24"/>
          <w:szCs w:val="24"/>
        </w:rPr>
        <w:t xml:space="preserve"> corretivas e considera somente trechos cuja </w:t>
      </w:r>
      <w:r w:rsidR="001F0DF2" w:rsidRPr="001F0DF2">
        <w:rPr>
          <w:rFonts w:ascii="Times New Roman" w:hAnsi="Times New Roman"/>
          <w:sz w:val="24"/>
          <w:szCs w:val="24"/>
        </w:rPr>
        <w:t>solução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C2382D">
        <w:rPr>
          <w:rFonts w:ascii="Times New Roman" w:hAnsi="Times New Roman"/>
          <w:sz w:val="24"/>
          <w:szCs w:val="24"/>
        </w:rPr>
        <w:t xml:space="preserve">não é </w:t>
      </w:r>
      <w:r w:rsidRPr="001F0DF2">
        <w:rPr>
          <w:rFonts w:ascii="Times New Roman" w:hAnsi="Times New Roman"/>
          <w:sz w:val="24"/>
          <w:szCs w:val="24"/>
        </w:rPr>
        <w:t xml:space="preserve">nula. Trechos sem </w:t>
      </w:r>
      <w:r w:rsidR="001F0DF2" w:rsidRPr="001F0DF2">
        <w:rPr>
          <w:rFonts w:ascii="Times New Roman" w:hAnsi="Times New Roman"/>
          <w:sz w:val="24"/>
          <w:szCs w:val="24"/>
        </w:rPr>
        <w:t>intervenção</w:t>
      </w:r>
      <w:r w:rsidRPr="001F0DF2">
        <w:rPr>
          <w:rFonts w:ascii="Times New Roman" w:hAnsi="Times New Roman"/>
          <w:sz w:val="24"/>
          <w:szCs w:val="24"/>
        </w:rPr>
        <w:t xml:space="preserve">, inclusive os excelentes, ficam fora do </w:t>
      </w:r>
      <w:r w:rsidR="001F0DF2" w:rsidRPr="001F0DF2">
        <w:rPr>
          <w:rFonts w:ascii="Times New Roman" w:hAnsi="Times New Roman"/>
          <w:sz w:val="24"/>
          <w:szCs w:val="24"/>
        </w:rPr>
        <w:t>gráfico</w:t>
      </w:r>
      <w:r w:rsidRPr="001F0DF2">
        <w:rPr>
          <w:rFonts w:ascii="Times New Roman" w:hAnsi="Times New Roman"/>
          <w:sz w:val="24"/>
          <w:szCs w:val="24"/>
        </w:rPr>
        <w:t xml:space="preserve">. Os percentuais representam apenas a </w:t>
      </w:r>
      <w:r w:rsidR="001F0DF2" w:rsidRPr="001F0DF2">
        <w:rPr>
          <w:rFonts w:ascii="Times New Roman" w:hAnsi="Times New Roman"/>
          <w:sz w:val="24"/>
          <w:szCs w:val="24"/>
        </w:rPr>
        <w:t>extensão</w:t>
      </w:r>
      <w:r w:rsidRPr="001F0DF2">
        <w:rPr>
          <w:rFonts w:ascii="Times New Roman" w:hAnsi="Times New Roman"/>
          <w:sz w:val="24"/>
          <w:szCs w:val="24"/>
        </w:rPr>
        <w:t xml:space="preserve"> com </w:t>
      </w:r>
      <w:r w:rsidR="001F0DF2" w:rsidRPr="001F0DF2">
        <w:rPr>
          <w:rFonts w:ascii="Times New Roman" w:hAnsi="Times New Roman"/>
          <w:sz w:val="24"/>
          <w:szCs w:val="24"/>
        </w:rPr>
        <w:t>intervenção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5F06CF" w:rsidRDefault="005F06CF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Regra de coerência do IAP médio: o valor exibido no centro da rosca deve ser calculado sobre a mesma população exibida no anel. Enquanto a rosca considerar somente trechos com solução corretiva, o centro deve mostrar o IAP médio somente desses trechos e ser identificado como tal. Se a rosca passar a representar todos os trechos por faixa numérica de IAP, o IAP médio geral poderá permanecer no centro.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Distribuição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bCs/>
          <w:sz w:val="24"/>
          <w:szCs w:val="24"/>
        </w:rPr>
        <w:t>numérica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do IAP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A </w:t>
      </w:r>
      <w:r w:rsidR="001F0DF2" w:rsidRPr="001F0DF2">
        <w:rPr>
          <w:rFonts w:ascii="Times New Roman" w:hAnsi="Times New Roman"/>
          <w:sz w:val="24"/>
          <w:szCs w:val="24"/>
        </w:rPr>
        <w:t>aplicação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já</w:t>
      </w:r>
      <w:r w:rsidRPr="001F0DF2">
        <w:rPr>
          <w:rFonts w:ascii="Times New Roman" w:hAnsi="Times New Roman"/>
          <w:sz w:val="24"/>
          <w:szCs w:val="24"/>
        </w:rPr>
        <w:t xml:space="preserve"> consulta e calcula a </w:t>
      </w:r>
      <w:r w:rsidR="001F0DF2" w:rsidRPr="001F0DF2">
        <w:rPr>
          <w:rFonts w:ascii="Times New Roman" w:hAnsi="Times New Roman"/>
          <w:sz w:val="24"/>
          <w:szCs w:val="24"/>
        </w:rPr>
        <w:t>distribuição</w:t>
      </w:r>
      <w:r w:rsidRPr="001F0DF2">
        <w:rPr>
          <w:rFonts w:ascii="Times New Roman" w:hAnsi="Times New Roman"/>
          <w:sz w:val="24"/>
          <w:szCs w:val="24"/>
        </w:rPr>
        <w:t xml:space="preserve"> por faixas de IAP, mas ela </w:t>
      </w:r>
      <w:r w:rsidR="00C2382D">
        <w:rPr>
          <w:rFonts w:ascii="Times New Roman" w:hAnsi="Times New Roman"/>
          <w:sz w:val="24"/>
          <w:szCs w:val="24"/>
        </w:rPr>
        <w:t xml:space="preserve">não é </w:t>
      </w:r>
      <w:r w:rsidRPr="001F0DF2">
        <w:rPr>
          <w:rFonts w:ascii="Times New Roman" w:hAnsi="Times New Roman"/>
          <w:sz w:val="24"/>
          <w:szCs w:val="24"/>
        </w:rPr>
        <w:t xml:space="preserve">a fonte enviada para a rosca atual. Existe dado adequado para o </w:t>
      </w:r>
      <w:r w:rsidR="001F0DF2" w:rsidRPr="001F0DF2">
        <w:rPr>
          <w:rFonts w:ascii="Times New Roman" w:hAnsi="Times New Roman"/>
          <w:sz w:val="24"/>
          <w:szCs w:val="24"/>
        </w:rPr>
        <w:t>gráfico</w:t>
      </w:r>
      <w:r w:rsidRPr="001F0DF2">
        <w:rPr>
          <w:rFonts w:ascii="Times New Roman" w:hAnsi="Times New Roman"/>
          <w:sz w:val="24"/>
          <w:szCs w:val="24"/>
        </w:rPr>
        <w:t xml:space="preserve">, porem ele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está</w:t>
      </w:r>
      <w:r w:rsidRPr="001F0DF2">
        <w:rPr>
          <w:rFonts w:ascii="Times New Roman" w:hAnsi="Times New Roman"/>
          <w:sz w:val="24"/>
          <w:szCs w:val="24"/>
        </w:rPr>
        <w:t xml:space="preserve"> sendo utilizado na tela.</w:t>
      </w:r>
    </w:p>
    <w:p w:rsidR="000E7251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B4468E" w:rsidRPr="001F0DF2" w:rsidRDefault="00B4468E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Problema:</w:t>
      </w:r>
      <w:r w:rsid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sz w:val="24"/>
          <w:szCs w:val="24"/>
        </w:rPr>
        <w:t xml:space="preserve">o </w:t>
      </w:r>
      <w:r w:rsidR="001F0DF2" w:rsidRPr="001F0DF2">
        <w:rPr>
          <w:rFonts w:ascii="Times New Roman" w:hAnsi="Times New Roman"/>
          <w:sz w:val="24"/>
          <w:szCs w:val="24"/>
        </w:rPr>
        <w:t>título</w:t>
      </w:r>
      <w:r w:rsidRPr="001F0DF2">
        <w:rPr>
          <w:rFonts w:ascii="Times New Roman" w:hAnsi="Times New Roman"/>
          <w:sz w:val="24"/>
          <w:szCs w:val="24"/>
        </w:rPr>
        <w:t xml:space="preserve"> e a leitura esperada da rosca </w:t>
      </w:r>
      <w:r w:rsidR="001F0DF2" w:rsidRPr="001F0DF2">
        <w:rPr>
          <w:rFonts w:ascii="Times New Roman" w:hAnsi="Times New Roman"/>
          <w:sz w:val="24"/>
          <w:szCs w:val="24"/>
        </w:rPr>
        <w:t>são</w:t>
      </w:r>
      <w:r w:rsidRPr="001F0DF2">
        <w:rPr>
          <w:rFonts w:ascii="Times New Roman" w:hAnsi="Times New Roman"/>
          <w:sz w:val="24"/>
          <w:szCs w:val="24"/>
        </w:rPr>
        <w:t xml:space="preserve"> de </w:t>
      </w:r>
      <w:r w:rsidR="001F0DF2" w:rsidRPr="001F0DF2">
        <w:rPr>
          <w:rFonts w:ascii="Times New Roman" w:hAnsi="Times New Roman"/>
          <w:sz w:val="24"/>
          <w:szCs w:val="24"/>
        </w:rPr>
        <w:t>distribuição</w:t>
      </w:r>
      <w:r w:rsidRPr="001F0DF2">
        <w:rPr>
          <w:rFonts w:ascii="Times New Roman" w:hAnsi="Times New Roman"/>
          <w:sz w:val="24"/>
          <w:szCs w:val="24"/>
        </w:rPr>
        <w:t xml:space="preserve"> de </w:t>
      </w:r>
      <w:r w:rsidR="001F0DF2" w:rsidRPr="001F0DF2">
        <w:rPr>
          <w:rFonts w:ascii="Times New Roman" w:hAnsi="Times New Roman"/>
          <w:sz w:val="24"/>
          <w:szCs w:val="24"/>
        </w:rPr>
        <w:t>condição</w:t>
      </w:r>
      <w:r w:rsidRPr="001F0DF2">
        <w:rPr>
          <w:rFonts w:ascii="Times New Roman" w:hAnsi="Times New Roman"/>
          <w:sz w:val="24"/>
          <w:szCs w:val="24"/>
        </w:rPr>
        <w:t xml:space="preserve">/IAP, mas seu </w:t>
      </w:r>
      <w:r w:rsidR="001F0DF2" w:rsidRPr="001F0DF2">
        <w:rPr>
          <w:rFonts w:ascii="Times New Roman" w:hAnsi="Times New Roman"/>
          <w:sz w:val="24"/>
          <w:szCs w:val="24"/>
        </w:rPr>
        <w:t>conteúdo</w:t>
      </w:r>
      <w:r w:rsidRPr="001F0DF2">
        <w:rPr>
          <w:rFonts w:ascii="Times New Roman" w:hAnsi="Times New Roman"/>
          <w:sz w:val="24"/>
          <w:szCs w:val="24"/>
        </w:rPr>
        <w:t xml:space="preserve"> e de </w:t>
      </w:r>
      <w:r w:rsidR="001F0DF2" w:rsidRPr="001F0DF2">
        <w:rPr>
          <w:rFonts w:ascii="Times New Roman" w:hAnsi="Times New Roman"/>
          <w:sz w:val="24"/>
          <w:szCs w:val="24"/>
        </w:rPr>
        <w:t>distribuição</w:t>
      </w:r>
      <w:r w:rsidRPr="001F0DF2">
        <w:rPr>
          <w:rFonts w:ascii="Times New Roman" w:hAnsi="Times New Roman"/>
          <w:sz w:val="24"/>
          <w:szCs w:val="24"/>
        </w:rPr>
        <w:t xml:space="preserve"> de </w:t>
      </w:r>
      <w:r w:rsidR="001F0DF2" w:rsidRPr="001F0DF2">
        <w:rPr>
          <w:rFonts w:ascii="Times New Roman" w:hAnsi="Times New Roman"/>
          <w:sz w:val="24"/>
          <w:szCs w:val="24"/>
        </w:rPr>
        <w:t>soluções</w:t>
      </w:r>
      <w:r w:rsidRPr="001F0DF2">
        <w:rPr>
          <w:rFonts w:ascii="Times New Roman" w:hAnsi="Times New Roman"/>
          <w:sz w:val="24"/>
          <w:szCs w:val="24"/>
        </w:rPr>
        <w:t xml:space="preserve"> corretivas. Isso torna a </w:t>
      </w:r>
      <w:r w:rsidR="001F0DF2" w:rsidRPr="001F0DF2">
        <w:rPr>
          <w:rFonts w:ascii="Times New Roman" w:hAnsi="Times New Roman"/>
          <w:sz w:val="24"/>
          <w:szCs w:val="24"/>
        </w:rPr>
        <w:t>comparação</w:t>
      </w:r>
      <w:r w:rsidRPr="001F0DF2">
        <w:rPr>
          <w:rFonts w:ascii="Times New Roman" w:hAnsi="Times New Roman"/>
          <w:sz w:val="24"/>
          <w:szCs w:val="24"/>
        </w:rPr>
        <w:t xml:space="preserve"> visual com o mapa inconsistente e pode induzir a </w:t>
      </w:r>
      <w:r w:rsidR="001F0DF2" w:rsidRPr="001F0DF2">
        <w:rPr>
          <w:rFonts w:ascii="Times New Roman" w:hAnsi="Times New Roman"/>
          <w:sz w:val="24"/>
          <w:szCs w:val="24"/>
        </w:rPr>
        <w:t>interpretação</w:t>
      </w:r>
      <w:r w:rsidRPr="001F0DF2">
        <w:rPr>
          <w:rFonts w:ascii="Times New Roman" w:hAnsi="Times New Roman"/>
          <w:sz w:val="24"/>
          <w:szCs w:val="24"/>
        </w:rPr>
        <w:t xml:space="preserve"> errada da </w:t>
      </w:r>
      <w:r w:rsidR="001F0DF2" w:rsidRPr="001F0DF2">
        <w:rPr>
          <w:rFonts w:ascii="Times New Roman" w:hAnsi="Times New Roman"/>
          <w:sz w:val="24"/>
          <w:szCs w:val="24"/>
        </w:rPr>
        <w:t>condição</w:t>
      </w:r>
      <w:r w:rsidRPr="001F0DF2">
        <w:rPr>
          <w:rFonts w:ascii="Times New Roman" w:hAnsi="Times New Roman"/>
          <w:sz w:val="24"/>
          <w:szCs w:val="24"/>
        </w:rPr>
        <w:t xml:space="preserve"> da rodovia.</w:t>
      </w:r>
      <w:r w:rsidR="00185A48">
        <w:rPr>
          <w:rFonts w:ascii="Times New Roman" w:hAnsi="Times New Roman"/>
          <w:sz w:val="24"/>
          <w:szCs w:val="24"/>
        </w:rPr>
        <w:br/>
      </w:r>
      <w:r w:rsidR="00F463B2" w:rsidRPr="00185A48">
        <w:rPr>
          <w:rFonts w:ascii="Times New Roman" w:hAnsi="Times New Roman"/>
          <w:noProof/>
          <w:sz w:val="24"/>
          <w:szCs w:val="24"/>
        </w:rPr>
        <w:drawing>
          <wp:inline distT="0" distB="0" distL="0" distR="0">
            <wp:extent cx="5685155" cy="2115185"/>
            <wp:effectExtent l="0" t="0" r="0" b="0"/>
            <wp:docPr id="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Solução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proposta para </w:t>
      </w:r>
      <w:r w:rsidRPr="001F0DF2">
        <w:rPr>
          <w:rFonts w:ascii="Times New Roman" w:hAnsi="Times New Roman"/>
          <w:bCs/>
          <w:sz w:val="24"/>
          <w:szCs w:val="24"/>
        </w:rPr>
        <w:t>validação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bCs/>
          <w:sz w:val="24"/>
          <w:szCs w:val="24"/>
        </w:rPr>
        <w:t>futura:</w:t>
      </w:r>
      <w:r w:rsidRPr="001F0DF2">
        <w:rPr>
          <w:rFonts w:ascii="Times New Roman" w:hAnsi="Times New Roman"/>
          <w:sz w:val="24"/>
          <w:szCs w:val="24"/>
        </w:rPr>
        <w:t xml:space="preserve"> usar</w:t>
      </w:r>
      <w:r w:rsidR="000E7251" w:rsidRPr="001F0DF2">
        <w:rPr>
          <w:rFonts w:ascii="Times New Roman" w:hAnsi="Times New Roman"/>
          <w:sz w:val="24"/>
          <w:szCs w:val="24"/>
        </w:rPr>
        <w:t xml:space="preserve"> na rosca a </w:t>
      </w:r>
      <w:r w:rsidRPr="001F0DF2">
        <w:rPr>
          <w:rFonts w:ascii="Times New Roman" w:hAnsi="Times New Roman"/>
          <w:sz w:val="24"/>
          <w:szCs w:val="24"/>
        </w:rPr>
        <w:t>distribuição</w:t>
      </w:r>
      <w:r w:rsidR="000E7251" w:rsidRPr="001F0DF2">
        <w:rPr>
          <w:rFonts w:ascii="Times New Roman" w:hAnsi="Times New Roman"/>
          <w:sz w:val="24"/>
          <w:szCs w:val="24"/>
        </w:rPr>
        <w:t xml:space="preserve"> por faixas </w:t>
      </w:r>
      <w:r w:rsidRPr="001F0DF2">
        <w:rPr>
          <w:rFonts w:ascii="Times New Roman" w:hAnsi="Times New Roman"/>
          <w:sz w:val="24"/>
          <w:szCs w:val="24"/>
        </w:rPr>
        <w:t>numéricas</w:t>
      </w:r>
      <w:r w:rsidR="000E7251" w:rsidRPr="001F0DF2">
        <w:rPr>
          <w:rFonts w:ascii="Times New Roman" w:hAnsi="Times New Roman"/>
          <w:sz w:val="24"/>
          <w:szCs w:val="24"/>
        </w:rPr>
        <w:t xml:space="preserve"> do IAP, incluindo todos os trechos do filtro. Caso a </w:t>
      </w:r>
      <w:r w:rsidRPr="001F0DF2">
        <w:rPr>
          <w:rFonts w:ascii="Times New Roman" w:hAnsi="Times New Roman"/>
          <w:sz w:val="24"/>
          <w:szCs w:val="24"/>
        </w:rPr>
        <w:t>distribuição</w:t>
      </w:r>
      <w:r w:rsidR="000E7251" w:rsidRPr="001F0DF2">
        <w:rPr>
          <w:rFonts w:ascii="Times New Roman" w:hAnsi="Times New Roman"/>
          <w:sz w:val="24"/>
          <w:szCs w:val="24"/>
        </w:rPr>
        <w:t xml:space="preserve"> de </w:t>
      </w:r>
      <w:r w:rsidRPr="001F0DF2">
        <w:rPr>
          <w:rFonts w:ascii="Times New Roman" w:hAnsi="Times New Roman"/>
          <w:sz w:val="24"/>
          <w:szCs w:val="24"/>
        </w:rPr>
        <w:t>intervenções</w:t>
      </w:r>
      <w:r w:rsidR="000E7251" w:rsidRPr="001F0DF2">
        <w:rPr>
          <w:rFonts w:ascii="Times New Roman" w:hAnsi="Times New Roman"/>
          <w:sz w:val="24"/>
          <w:szCs w:val="24"/>
        </w:rPr>
        <w:t xml:space="preserve"> seja </w:t>
      </w:r>
      <w:r w:rsidRPr="001F0DF2">
        <w:rPr>
          <w:rFonts w:ascii="Times New Roman" w:hAnsi="Times New Roman"/>
          <w:sz w:val="24"/>
          <w:szCs w:val="24"/>
        </w:rPr>
        <w:t>necessária</w:t>
      </w:r>
      <w:r w:rsidR="000E7251" w:rsidRPr="001F0DF2">
        <w:rPr>
          <w:rFonts w:ascii="Times New Roman" w:hAnsi="Times New Roman"/>
          <w:sz w:val="24"/>
          <w:szCs w:val="24"/>
        </w:rPr>
        <w:t xml:space="preserve">, </w:t>
      </w:r>
      <w:r w:rsidRPr="001F0DF2">
        <w:rPr>
          <w:rFonts w:ascii="Times New Roman" w:hAnsi="Times New Roman"/>
          <w:sz w:val="24"/>
          <w:szCs w:val="24"/>
        </w:rPr>
        <w:t>mantê-la</w:t>
      </w:r>
      <w:r w:rsidR="000E7251" w:rsidRPr="001F0DF2">
        <w:rPr>
          <w:rFonts w:ascii="Times New Roman" w:hAnsi="Times New Roman"/>
          <w:sz w:val="24"/>
          <w:szCs w:val="24"/>
        </w:rPr>
        <w:t xml:space="preserve"> em </w:t>
      </w:r>
      <w:r w:rsidRPr="001F0DF2">
        <w:rPr>
          <w:rFonts w:ascii="Times New Roman" w:hAnsi="Times New Roman"/>
          <w:sz w:val="24"/>
          <w:szCs w:val="24"/>
        </w:rPr>
        <w:t>gráfico</w:t>
      </w:r>
      <w:r w:rsidR="000E7251" w:rsidRPr="001F0DF2">
        <w:rPr>
          <w:rFonts w:ascii="Times New Roman" w:hAnsi="Times New Roman"/>
          <w:sz w:val="24"/>
          <w:szCs w:val="24"/>
        </w:rPr>
        <w:t xml:space="preserve"> separado com o </w:t>
      </w:r>
      <w:r w:rsidRPr="001F0DF2">
        <w:rPr>
          <w:rFonts w:ascii="Times New Roman" w:hAnsi="Times New Roman"/>
          <w:sz w:val="24"/>
          <w:szCs w:val="24"/>
        </w:rPr>
        <w:t>título</w:t>
      </w:r>
      <w:r w:rsidR="000E7251" w:rsidRPr="001F0DF2">
        <w:rPr>
          <w:rFonts w:ascii="Times New Roman" w:hAnsi="Times New Roman"/>
          <w:sz w:val="24"/>
          <w:szCs w:val="24"/>
        </w:rPr>
        <w:t xml:space="preserve"> </w:t>
      </w:r>
      <w:r w:rsidRPr="001F0DF2">
        <w:rPr>
          <w:rFonts w:ascii="Times New Roman" w:hAnsi="Times New Roman"/>
          <w:sz w:val="24"/>
          <w:szCs w:val="24"/>
        </w:rPr>
        <w:t>Distribuição</w:t>
      </w:r>
      <w:r w:rsidR="000E7251" w:rsidRPr="001F0DF2">
        <w:rPr>
          <w:rFonts w:ascii="Times New Roman" w:hAnsi="Times New Roman"/>
          <w:sz w:val="24"/>
          <w:szCs w:val="24"/>
        </w:rPr>
        <w:t xml:space="preserve"> de </w:t>
      </w:r>
      <w:r w:rsidRPr="001F0DF2">
        <w:rPr>
          <w:rFonts w:ascii="Times New Roman" w:hAnsi="Times New Roman"/>
          <w:sz w:val="24"/>
          <w:szCs w:val="24"/>
        </w:rPr>
        <w:t>Soluções</w:t>
      </w:r>
      <w:r w:rsidR="000E7251" w:rsidRPr="001F0DF2">
        <w:rPr>
          <w:rFonts w:ascii="Times New Roman" w:hAnsi="Times New Roman"/>
          <w:sz w:val="24"/>
          <w:szCs w:val="24"/>
        </w:rPr>
        <w:t xml:space="preserve"> Corretivas e informar que o percentual considera somente os trechos com </w:t>
      </w:r>
      <w:r w:rsidRPr="001F0DF2">
        <w:rPr>
          <w:rFonts w:ascii="Times New Roman" w:hAnsi="Times New Roman"/>
          <w:sz w:val="24"/>
          <w:szCs w:val="24"/>
        </w:rPr>
        <w:t>solução</w:t>
      </w:r>
      <w:r w:rsidR="000E7251" w:rsidRPr="001F0DF2">
        <w:rPr>
          <w:rFonts w:ascii="Times New Roman" w:hAnsi="Times New Roman"/>
          <w:sz w:val="24"/>
          <w:szCs w:val="24"/>
        </w:rPr>
        <w:t>.</w:t>
      </w:r>
      <w:r w:rsidR="00185A48">
        <w:rPr>
          <w:rFonts w:ascii="Times New Roman" w:hAnsi="Times New Roman"/>
          <w:sz w:val="24"/>
          <w:szCs w:val="24"/>
        </w:rPr>
        <w:br/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335F08" w:rsidRPr="007C1101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B4468E">
        <w:rPr>
          <w:rFonts w:ascii="Times New Roman" w:hAnsi="Times New Roman"/>
          <w:b/>
          <w:bCs/>
          <w:sz w:val="24"/>
          <w:szCs w:val="24"/>
        </w:rPr>
        <w:t>3.3 Soluções</w:t>
      </w:r>
    </w:p>
    <w:p w:rsidR="000E7251" w:rsidRDefault="00B4468E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Filtros</w:t>
      </w:r>
      <w:r w:rsidR="00335F08">
        <w:rPr>
          <w:rFonts w:ascii="Times New Roman" w:hAnsi="Times New Roman"/>
          <w:sz w:val="24"/>
          <w:szCs w:val="24"/>
        </w:rPr>
        <w:t xml:space="preserve"> adicionar</w:t>
      </w:r>
      <w:r w:rsidR="007C1101">
        <w:rPr>
          <w:rFonts w:ascii="Times New Roman" w:hAnsi="Times New Roman"/>
          <w:sz w:val="24"/>
          <w:szCs w:val="24"/>
        </w:rPr>
        <w:t xml:space="preserve"> (cenário, ano)</w:t>
      </w:r>
    </w:p>
    <w:p w:rsidR="00335F08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Os filtros disponíveis não parecem ser dependentes entre si. Ao selecionar uma opção incompatível com o SRE escolhido, o sistema exibe aviso. O ideal é que cada filtro apresente apenas opções válidas para a seleção atual.</w:t>
      </w:r>
    </w:p>
    <w:p w:rsidR="00335F08" w:rsidRDefault="00F463B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noProof/>
          <w:sz w:val="24"/>
          <w:szCs w:val="24"/>
        </w:rPr>
      </w:pPr>
      <w:r w:rsidRPr="00335F08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>
            <wp:extent cx="5327650" cy="2607945"/>
            <wp:effectExtent l="0" t="0" r="6350" b="1905"/>
            <wp:docPr id="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101" w:rsidRDefault="00F463B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noProof/>
          <w:sz w:val="24"/>
          <w:szCs w:val="24"/>
        </w:rPr>
      </w:pPr>
      <w:r w:rsidRPr="007C1101">
        <w:rPr>
          <w:rFonts w:ascii="Times New Roman" w:hAnsi="Times New Roman"/>
          <w:noProof/>
          <w:sz w:val="24"/>
          <w:szCs w:val="24"/>
        </w:rPr>
        <w:drawing>
          <wp:inline distT="0" distB="0" distL="0" distR="0">
            <wp:extent cx="5231765" cy="1916430"/>
            <wp:effectExtent l="0" t="0" r="6985" b="7620"/>
            <wp:docPr id="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6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7251" w:rsidRPr="001F0DF2" w:rsidRDefault="00335F0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- </w:t>
      </w:r>
      <w:r w:rsidR="000E7251" w:rsidRPr="001F0DF2">
        <w:rPr>
          <w:rFonts w:ascii="Times New Roman" w:hAnsi="Times New Roman"/>
          <w:sz w:val="24"/>
          <w:szCs w:val="24"/>
        </w:rPr>
        <w:t xml:space="preserve">Documentar e validar os pesos, limites e fórmulas usados para classificar prioridades. </w:t>
      </w:r>
      <w:r>
        <w:rPr>
          <w:rFonts w:ascii="Times New Roman" w:hAnsi="Times New Roman"/>
          <w:sz w:val="24"/>
          <w:szCs w:val="24"/>
        </w:rPr>
        <w:br/>
        <w:t xml:space="preserve">- </w:t>
      </w:r>
      <w:r w:rsidR="000E7251" w:rsidRPr="001F0DF2">
        <w:rPr>
          <w:rFonts w:ascii="Times New Roman" w:hAnsi="Times New Roman"/>
          <w:sz w:val="24"/>
          <w:szCs w:val="24"/>
        </w:rPr>
        <w:t>Existem parâmetros fixos no código.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Separar custos, pesos e faixas de decisão do código da aplicação, permitind</w:t>
      </w:r>
      <w:r w:rsidR="007C1101">
        <w:rPr>
          <w:rFonts w:ascii="Times New Roman" w:hAnsi="Times New Roman"/>
          <w:sz w:val="24"/>
          <w:szCs w:val="24"/>
        </w:rPr>
        <w:t>o revisões futuras controladas.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Mostrar em linguagem simples por que cada solução foi sugerida para o trecho selecionado.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Reutilizar a mesma nomenclatura e cor das soluções em toda a aplicação.</w:t>
      </w:r>
    </w:p>
    <w:p w:rsidR="000E7251" w:rsidRPr="004664A8" w:rsidRDefault="000E7251" w:rsidP="004664A8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185A48">
        <w:rPr>
          <w:rFonts w:ascii="Times New Roman" w:hAnsi="Times New Roman"/>
          <w:b/>
          <w:sz w:val="24"/>
          <w:szCs w:val="24"/>
        </w:rPr>
        <w:br w:type="page"/>
      </w:r>
      <w:r w:rsidRPr="00185A48">
        <w:rPr>
          <w:rFonts w:ascii="Times New Roman" w:hAnsi="Times New Roman"/>
          <w:b/>
          <w:bCs/>
          <w:sz w:val="24"/>
          <w:szCs w:val="24"/>
        </w:rPr>
        <w:lastRenderedPageBreak/>
        <w:t>3.4 Cenário Econômico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Complementar siglas e termos técnicos com descrição simples.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597763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7C1101">
        <w:rPr>
          <w:rFonts w:ascii="Times New Roman" w:hAnsi="Times New Roman"/>
          <w:b/>
          <w:bCs/>
          <w:sz w:val="24"/>
          <w:szCs w:val="24"/>
        </w:rPr>
        <w:t>3.5 Projeção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Documentar as regras, curvas e dados usados para a estimativa de desempenho.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Tornar explícita a comparação entre manter, intervir e adiar intervenção, quando os dados permitirem.</w:t>
      </w:r>
    </w:p>
    <w:p w:rsidR="000E7251" w:rsidRDefault="004664A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Informar que a projeção é</w:t>
      </w:r>
      <w:r w:rsidR="000E7251" w:rsidRPr="001F0DF2">
        <w:rPr>
          <w:rFonts w:ascii="Times New Roman" w:hAnsi="Times New Roman"/>
          <w:sz w:val="24"/>
          <w:szCs w:val="24"/>
        </w:rPr>
        <w:t xml:space="preserve"> uma estimativa e depende da qualidade e atualização dos dados de entrada.</w:t>
      </w:r>
    </w:p>
    <w:p w:rsidR="004664A8" w:rsidRPr="001F0DF2" w:rsidRDefault="004664A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517022" w:rsidRDefault="0051702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3.6 IAGON</w:t>
      </w:r>
    </w:p>
    <w:p w:rsidR="000E7251" w:rsidRPr="001F0DF2" w:rsidRDefault="0051702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- Regularizar</w:t>
      </w:r>
      <w:r w:rsidR="000E7251" w:rsidRPr="001F0DF2">
        <w:rPr>
          <w:rFonts w:ascii="Times New Roman" w:hAnsi="Times New Roman"/>
          <w:sz w:val="24"/>
          <w:szCs w:val="24"/>
        </w:rPr>
        <w:t xml:space="preserve"> dependências utilizadas pelo módulo que não constam na lista principal de instalação.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Confirmar e versionar os arquivos e diretórios esperados pelo módulo, como dados locais e instruções de contexto.</w:t>
      </w:r>
    </w:p>
    <w:p w:rsidR="005F06CF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Apresentar aviso de que as respostas do assistente apoiam, mas não substituem, a análise técnica e a validação humana.</w:t>
      </w:r>
    </w:p>
    <w:p w:rsidR="005F06CF" w:rsidRDefault="005F06CF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e configurar a API da OpenAI: definir uma conta/projeto corporativo, configurar cobrança, gerar uma chave e registrá-la no ambiente como API_OPENAI_KEY. Sem essa chave, o IAGON permanece indisponível, mesmo que a tela e as dependências estejam instaladas.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br w:type="page"/>
      </w:r>
      <w:r w:rsidR="00C2382D">
        <w:rPr>
          <w:rFonts w:ascii="Times New Roman" w:hAnsi="Times New Roman"/>
          <w:bCs/>
          <w:sz w:val="24"/>
          <w:szCs w:val="24"/>
        </w:rPr>
        <w:lastRenderedPageBreak/>
        <w:t>4. Credenciais e integrações externas</w:t>
      </w: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Situação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bCs/>
          <w:sz w:val="24"/>
          <w:szCs w:val="24"/>
        </w:rPr>
        <w:t>identificada:</w:t>
      </w:r>
      <w:r w:rsidRPr="001F0DF2">
        <w:rPr>
          <w:rFonts w:ascii="Times New Roman" w:hAnsi="Times New Roman"/>
          <w:sz w:val="24"/>
          <w:szCs w:val="24"/>
        </w:rPr>
        <w:t xml:space="preserve"> o</w:t>
      </w:r>
      <w:r w:rsidR="000E7251" w:rsidRPr="001F0DF2">
        <w:rPr>
          <w:rFonts w:ascii="Times New Roman" w:hAnsi="Times New Roman"/>
          <w:sz w:val="24"/>
          <w:szCs w:val="24"/>
        </w:rPr>
        <w:t xml:space="preserve"> IAGON </w:t>
      </w:r>
      <w:r w:rsidRPr="001F0DF2">
        <w:rPr>
          <w:rFonts w:ascii="Times New Roman" w:hAnsi="Times New Roman"/>
          <w:sz w:val="24"/>
          <w:szCs w:val="24"/>
        </w:rPr>
        <w:t>não</w:t>
      </w:r>
      <w:r w:rsidR="000E7251" w:rsidRPr="001F0DF2">
        <w:rPr>
          <w:rFonts w:ascii="Times New Roman" w:hAnsi="Times New Roman"/>
          <w:sz w:val="24"/>
          <w:szCs w:val="24"/>
        </w:rPr>
        <w:t xml:space="preserve"> possui uma chave de API da OpenAI configurada no ambiente local. </w:t>
      </w:r>
      <w:r w:rsidR="00C2382D">
        <w:rPr>
          <w:rFonts w:ascii="Times New Roman" w:hAnsi="Times New Roman"/>
          <w:sz w:val="24"/>
          <w:szCs w:val="24"/>
        </w:rPr>
        <w:t>A chave do Google Maps está preenchida</w:t>
      </w:r>
      <w:r w:rsidR="000E7251" w:rsidRPr="001F0DF2">
        <w:rPr>
          <w:rFonts w:ascii="Times New Roman" w:hAnsi="Times New Roman"/>
          <w:sz w:val="24"/>
          <w:szCs w:val="24"/>
        </w:rPr>
        <w:t xml:space="preserve"> no arquivo de </w:t>
      </w:r>
      <w:r w:rsidRPr="001F0DF2">
        <w:rPr>
          <w:rFonts w:ascii="Times New Roman" w:hAnsi="Times New Roman"/>
          <w:sz w:val="24"/>
          <w:szCs w:val="24"/>
        </w:rPr>
        <w:t>configuração</w:t>
      </w:r>
      <w:r w:rsidR="000E7251" w:rsidRPr="001F0DF2">
        <w:rPr>
          <w:rFonts w:ascii="Times New Roman" w:hAnsi="Times New Roman"/>
          <w:sz w:val="24"/>
          <w:szCs w:val="24"/>
        </w:rPr>
        <w:t xml:space="preserve"> local, mas seu funcionamento depende da </w:t>
      </w:r>
      <w:r w:rsidRPr="001F0DF2">
        <w:rPr>
          <w:rFonts w:ascii="Times New Roman" w:hAnsi="Times New Roman"/>
          <w:sz w:val="24"/>
          <w:szCs w:val="24"/>
        </w:rPr>
        <w:t>habilitação</w:t>
      </w:r>
      <w:r w:rsidR="000E7251" w:rsidRPr="001F0DF2">
        <w:rPr>
          <w:rFonts w:ascii="Times New Roman" w:hAnsi="Times New Roman"/>
          <w:sz w:val="24"/>
          <w:szCs w:val="24"/>
        </w:rPr>
        <w:t xml:space="preserve"> e das </w:t>
      </w:r>
      <w:r w:rsidRPr="001F0DF2">
        <w:rPr>
          <w:rFonts w:ascii="Times New Roman" w:hAnsi="Times New Roman"/>
          <w:sz w:val="24"/>
          <w:szCs w:val="24"/>
        </w:rPr>
        <w:t>restrições</w:t>
      </w:r>
      <w:r w:rsidR="000E7251" w:rsidRPr="001F0DF2">
        <w:rPr>
          <w:rFonts w:ascii="Times New Roman" w:hAnsi="Times New Roman"/>
          <w:sz w:val="24"/>
          <w:szCs w:val="24"/>
        </w:rPr>
        <w:t xml:space="preserve"> corretas no Google Cloud.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IAGON e OpenAI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O IAGON usa a API da OpenAI, e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a assinatura comum do ChatGPT. Ele precisa de uma chave vinculada a uma conta/projeto com responsabilidade definida sobre acesso e </w:t>
      </w:r>
      <w:r w:rsidR="001F0DF2" w:rsidRPr="001F0DF2">
        <w:rPr>
          <w:rFonts w:ascii="Times New Roman" w:hAnsi="Times New Roman"/>
          <w:sz w:val="24"/>
          <w:szCs w:val="24"/>
        </w:rPr>
        <w:t>cobrança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Evidência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visual recebida em </w:t>
      </w:r>
      <w:r w:rsidR="00517022">
        <w:rPr>
          <w:rFonts w:ascii="Times New Roman" w:hAnsi="Times New Roman"/>
          <w:bCs/>
          <w:sz w:val="24"/>
          <w:szCs w:val="24"/>
        </w:rPr>
        <w:t>10/07/2026: a tela</w:t>
      </w:r>
      <w:r w:rsidR="000E7251" w:rsidRPr="001F0DF2">
        <w:rPr>
          <w:rFonts w:ascii="Times New Roman" w:hAnsi="Times New Roman"/>
          <w:sz w:val="24"/>
          <w:szCs w:val="24"/>
        </w:rPr>
        <w:t xml:space="preserve"> API keys do projeto selecionado mostra 0 results e o </w:t>
      </w:r>
      <w:r w:rsidR="001F0DF2" w:rsidRPr="001F0DF2">
        <w:rPr>
          <w:rFonts w:ascii="Times New Roman" w:hAnsi="Times New Roman"/>
          <w:sz w:val="24"/>
          <w:szCs w:val="24"/>
        </w:rPr>
        <w:t>botão</w:t>
      </w:r>
      <w:r w:rsidR="000E7251" w:rsidRPr="001F0DF2">
        <w:rPr>
          <w:rFonts w:ascii="Times New Roman" w:hAnsi="Times New Roman"/>
          <w:sz w:val="24"/>
          <w:szCs w:val="24"/>
        </w:rPr>
        <w:t xml:space="preserve"> Create new secret key. Isso indica que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="000E7251"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há</w:t>
      </w:r>
      <w:r w:rsidR="000E7251" w:rsidRPr="001F0DF2">
        <w:rPr>
          <w:rFonts w:ascii="Times New Roman" w:hAnsi="Times New Roman"/>
          <w:sz w:val="24"/>
          <w:szCs w:val="24"/>
        </w:rPr>
        <w:t xml:space="preserve"> chave ativa </w:t>
      </w:r>
      <w:r w:rsidR="001F0DF2" w:rsidRPr="001F0DF2">
        <w:rPr>
          <w:rFonts w:ascii="Times New Roman" w:hAnsi="Times New Roman"/>
          <w:sz w:val="24"/>
          <w:szCs w:val="24"/>
        </w:rPr>
        <w:t>disponível</w:t>
      </w:r>
      <w:r w:rsidR="000E7251" w:rsidRPr="001F0DF2">
        <w:rPr>
          <w:rFonts w:ascii="Times New Roman" w:hAnsi="Times New Roman"/>
          <w:sz w:val="24"/>
          <w:szCs w:val="24"/>
        </w:rPr>
        <w:t xml:space="preserve"> nesse projeto para configurar o IAGON.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Ações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bCs/>
          <w:sz w:val="24"/>
          <w:szCs w:val="24"/>
        </w:rPr>
        <w:t>necessárias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1. Definir a conta corporativa dona da API e de sua </w:t>
      </w:r>
      <w:r w:rsidR="001F0DF2" w:rsidRPr="001F0DF2">
        <w:rPr>
          <w:rFonts w:ascii="Times New Roman" w:hAnsi="Times New Roman"/>
          <w:sz w:val="24"/>
          <w:szCs w:val="24"/>
        </w:rPr>
        <w:t>cobrança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2. Criar ou assumir um projeto da API destinado ao IAGON, com </w:t>
      </w:r>
      <w:r w:rsidR="001F0DF2" w:rsidRPr="001F0DF2">
        <w:rPr>
          <w:rFonts w:ascii="Times New Roman" w:hAnsi="Times New Roman"/>
          <w:sz w:val="24"/>
          <w:szCs w:val="24"/>
        </w:rPr>
        <w:t>orçamento</w:t>
      </w:r>
      <w:r w:rsidRPr="001F0DF2">
        <w:rPr>
          <w:rFonts w:ascii="Times New Roman" w:hAnsi="Times New Roman"/>
          <w:sz w:val="24"/>
          <w:szCs w:val="24"/>
        </w:rPr>
        <w:t xml:space="preserve"> e limite de uso definidos.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3. Criar a chave em API Keys &gt; Create new secret key. A chave completa </w:t>
      </w:r>
      <w:r w:rsidR="00C2382D">
        <w:rPr>
          <w:rFonts w:ascii="Times New Roman" w:hAnsi="Times New Roman"/>
          <w:sz w:val="24"/>
          <w:szCs w:val="24"/>
        </w:rPr>
        <w:t>só é exibida</w:t>
      </w:r>
      <w:r w:rsidRPr="001F0DF2">
        <w:rPr>
          <w:rFonts w:ascii="Times New Roman" w:hAnsi="Times New Roman"/>
          <w:sz w:val="24"/>
          <w:szCs w:val="24"/>
        </w:rPr>
        <w:t xml:space="preserve"> uma vez.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4. Registrar a chave somente no arquivo .env, com o nome API_OPENAI_KEY. Nunca publicar a chave em Git, e-mail, chat ou documento.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Google Maps e Street View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No painel, o Google Maps e usado especificamente para abrir o Street View ao clicar em um trecho do mapa. O mapa </w:t>
      </w:r>
      <w:r w:rsidR="001F0DF2" w:rsidRPr="001F0DF2">
        <w:rPr>
          <w:rFonts w:ascii="Times New Roman" w:hAnsi="Times New Roman"/>
          <w:sz w:val="24"/>
          <w:szCs w:val="24"/>
        </w:rPr>
        <w:t>analítico</w:t>
      </w:r>
      <w:r w:rsidRPr="001F0DF2">
        <w:rPr>
          <w:rFonts w:ascii="Times New Roman" w:hAnsi="Times New Roman"/>
          <w:sz w:val="24"/>
          <w:szCs w:val="24"/>
        </w:rPr>
        <w:t xml:space="preserve"> principal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depende dessa chave.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1F0DF2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Ações</w:t>
      </w:r>
      <w:r w:rsidR="000E7251" w:rsidRPr="001F0DF2">
        <w:rPr>
          <w:rFonts w:ascii="Times New Roman" w:hAnsi="Times New Roman"/>
          <w:bCs/>
          <w:sz w:val="24"/>
          <w:szCs w:val="24"/>
        </w:rPr>
        <w:t xml:space="preserve"> </w:t>
      </w:r>
      <w:r w:rsidRPr="001F0DF2">
        <w:rPr>
          <w:rFonts w:ascii="Times New Roman" w:hAnsi="Times New Roman"/>
          <w:bCs/>
          <w:sz w:val="24"/>
          <w:szCs w:val="24"/>
        </w:rPr>
        <w:t>necessárias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1. Criar ou identificar o projeto da empresa no Google Cloud.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2. Associar uma conta de faturamento </w:t>
      </w:r>
      <w:r w:rsidR="001F0DF2" w:rsidRPr="001F0DF2">
        <w:rPr>
          <w:rFonts w:ascii="Times New Roman" w:hAnsi="Times New Roman"/>
          <w:sz w:val="24"/>
          <w:szCs w:val="24"/>
        </w:rPr>
        <w:t>válida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3. Habilitar a Maps Embed API, que </w:t>
      </w:r>
      <w:r w:rsidR="00C2382D">
        <w:rPr>
          <w:rFonts w:ascii="Times New Roman" w:hAnsi="Times New Roman"/>
          <w:sz w:val="24"/>
          <w:szCs w:val="24"/>
        </w:rPr>
        <w:t>é a API</w:t>
      </w:r>
      <w:r w:rsidRPr="001F0DF2">
        <w:rPr>
          <w:rFonts w:ascii="Times New Roman" w:hAnsi="Times New Roman"/>
          <w:sz w:val="24"/>
          <w:szCs w:val="24"/>
        </w:rPr>
        <w:t xml:space="preserve"> usada pelo Street View embutido.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4. Criar uma chave exclusiva para a Maps Embed API.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5. Restringir a chave a Maps Embed API e aos sites autorizados: http://localhost:8501/*, http://127.0.0.1:8501/* e o </w:t>
      </w:r>
      <w:r w:rsidR="001F0DF2" w:rsidRPr="001F0DF2">
        <w:rPr>
          <w:rFonts w:ascii="Times New Roman" w:hAnsi="Times New Roman"/>
          <w:sz w:val="24"/>
          <w:szCs w:val="24"/>
        </w:rPr>
        <w:t>domínio</w:t>
      </w:r>
      <w:r w:rsidRPr="001F0DF2">
        <w:rPr>
          <w:rFonts w:ascii="Times New Roman" w:hAnsi="Times New Roman"/>
          <w:sz w:val="24"/>
          <w:szCs w:val="24"/>
        </w:rPr>
        <w:t xml:space="preserve"> de </w:t>
      </w:r>
      <w:r w:rsidR="001F0DF2" w:rsidRPr="001F0DF2">
        <w:rPr>
          <w:rFonts w:ascii="Times New Roman" w:hAnsi="Times New Roman"/>
          <w:sz w:val="24"/>
          <w:szCs w:val="24"/>
        </w:rPr>
        <w:t>produção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6. Registrar a chave em .env como GOOGLE_MAPS_API_KEY, reiniciar o Streamlit e </w:t>
      </w:r>
      <w:r w:rsidRPr="001F0DF2">
        <w:rPr>
          <w:rFonts w:ascii="Times New Roman" w:hAnsi="Times New Roman"/>
          <w:sz w:val="24"/>
          <w:szCs w:val="24"/>
        </w:rPr>
        <w:lastRenderedPageBreak/>
        <w:t>testar o clique em um trecho do mapa.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 xml:space="preserve">Risco </w:t>
      </w:r>
      <w:r w:rsidR="001F0DF2" w:rsidRPr="001F0DF2">
        <w:rPr>
          <w:rFonts w:ascii="Times New Roman" w:hAnsi="Times New Roman"/>
          <w:bCs/>
          <w:sz w:val="24"/>
          <w:szCs w:val="24"/>
        </w:rPr>
        <w:t>atual:</w:t>
      </w:r>
      <w:r w:rsidR="001F0DF2" w:rsidRPr="001F0DF2">
        <w:rPr>
          <w:rFonts w:ascii="Times New Roman" w:hAnsi="Times New Roman"/>
          <w:sz w:val="24"/>
          <w:szCs w:val="24"/>
        </w:rPr>
        <w:t xml:space="preserve"> uma</w:t>
      </w:r>
      <w:r w:rsidRPr="001F0DF2">
        <w:rPr>
          <w:rFonts w:ascii="Times New Roman" w:hAnsi="Times New Roman"/>
          <w:sz w:val="24"/>
          <w:szCs w:val="24"/>
        </w:rPr>
        <w:t xml:space="preserve"> chave preenchida no .env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garante funcionamento. O Street View pode falhar s</w:t>
      </w:r>
      <w:r w:rsidR="00C2382D">
        <w:rPr>
          <w:rFonts w:ascii="Times New Roman" w:hAnsi="Times New Roman"/>
          <w:sz w:val="24"/>
          <w:szCs w:val="24"/>
        </w:rPr>
        <w:t>é a API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estiver habilitada, se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houver </w:t>
      </w:r>
      <w:r w:rsidR="00C2382D">
        <w:rPr>
          <w:rFonts w:ascii="Times New Roman" w:hAnsi="Times New Roman"/>
          <w:sz w:val="24"/>
          <w:szCs w:val="24"/>
        </w:rPr>
        <w:t>faturamento válido</w:t>
      </w:r>
      <w:r w:rsidRPr="001F0DF2">
        <w:rPr>
          <w:rFonts w:ascii="Times New Roman" w:hAnsi="Times New Roman"/>
          <w:sz w:val="24"/>
          <w:szCs w:val="24"/>
        </w:rPr>
        <w:t xml:space="preserve"> ou se o </w:t>
      </w:r>
      <w:r w:rsidR="001F0DF2" w:rsidRPr="001F0DF2">
        <w:rPr>
          <w:rFonts w:ascii="Times New Roman" w:hAnsi="Times New Roman"/>
          <w:sz w:val="24"/>
          <w:szCs w:val="24"/>
        </w:rPr>
        <w:t>endereço</w:t>
      </w:r>
      <w:r w:rsidRPr="001F0DF2">
        <w:rPr>
          <w:rFonts w:ascii="Times New Roman" w:hAnsi="Times New Roman"/>
          <w:sz w:val="24"/>
          <w:szCs w:val="24"/>
        </w:rPr>
        <w:t xml:space="preserve"> local/de </w:t>
      </w:r>
      <w:r w:rsidR="001F0DF2" w:rsidRPr="001F0DF2">
        <w:rPr>
          <w:rFonts w:ascii="Times New Roman" w:hAnsi="Times New Roman"/>
          <w:sz w:val="24"/>
          <w:szCs w:val="24"/>
        </w:rPr>
        <w:t>produção</w:t>
      </w:r>
      <w:r w:rsidRPr="001F0DF2">
        <w:rPr>
          <w:rFonts w:ascii="Times New Roman" w:hAnsi="Times New Roman"/>
          <w:sz w:val="24"/>
          <w:szCs w:val="24"/>
        </w:rPr>
        <w:t xml:space="preserve"> </w:t>
      </w:r>
      <w:r w:rsidR="001F0DF2" w:rsidRPr="001F0DF2">
        <w:rPr>
          <w:rFonts w:ascii="Times New Roman" w:hAnsi="Times New Roman"/>
          <w:sz w:val="24"/>
          <w:szCs w:val="24"/>
        </w:rPr>
        <w:t>não</w:t>
      </w:r>
      <w:r w:rsidRPr="001F0DF2">
        <w:rPr>
          <w:rFonts w:ascii="Times New Roman" w:hAnsi="Times New Roman"/>
          <w:sz w:val="24"/>
          <w:szCs w:val="24"/>
        </w:rPr>
        <w:t xml:space="preserve"> estiver autorizado nas </w:t>
      </w:r>
      <w:r w:rsidR="001F0DF2" w:rsidRPr="001F0DF2">
        <w:rPr>
          <w:rFonts w:ascii="Times New Roman" w:hAnsi="Times New Roman"/>
          <w:sz w:val="24"/>
          <w:szCs w:val="24"/>
        </w:rPr>
        <w:t>restrições</w:t>
      </w:r>
      <w:r w:rsidRPr="001F0DF2">
        <w:rPr>
          <w:rFonts w:ascii="Times New Roman" w:hAnsi="Times New Roman"/>
          <w:sz w:val="24"/>
          <w:szCs w:val="24"/>
        </w:rPr>
        <w:t xml:space="preserve"> da chave.</w:t>
      </w:r>
    </w:p>
    <w:p w:rsidR="004664A8" w:rsidRDefault="004664A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4664A8" w:rsidRDefault="004664A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517022" w:rsidRDefault="00517022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5. Parâmetros fixos que precisam de validação</w:t>
      </w:r>
    </w:p>
    <w:p w:rsidR="004664A8" w:rsidRPr="004664A8" w:rsidRDefault="00517022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Existem parâmetros fixos</w:t>
      </w:r>
      <w:r w:rsidR="00C2382D">
        <w:rPr>
          <w:rFonts w:ascii="Times New Roman" w:hAnsi="Times New Roman"/>
          <w:sz w:val="24"/>
          <w:szCs w:val="24"/>
        </w:rPr>
        <w:t xml:space="preserve"> no sistema que precisam ser validados, pois influenciam diretamente os resultados apresentados no dashboard.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Priorização Paragon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O cálculo atual utiliza pesos fixos para compor o índice técnico:</w:t>
      </w:r>
    </w:p>
    <w:p w:rsidR="004664A8" w:rsidRPr="004664A8" w:rsidRDefault="004664A8" w:rsidP="004664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VMDA: 50%</w:t>
      </w:r>
    </w:p>
    <w:p w:rsidR="004664A8" w:rsidRPr="004664A8" w:rsidRDefault="004664A8" w:rsidP="004664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ICDS: 30%</w:t>
      </w:r>
    </w:p>
    <w:p w:rsidR="004664A8" w:rsidRPr="004664A8" w:rsidRDefault="004664A8" w:rsidP="004664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ICDP: 20%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 priorização é exibida em uma escala de 1 a 10, onde valores menores indicam maior prioridade.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As faixas atuais são:</w:t>
      </w:r>
    </w:p>
    <w:p w:rsidR="004664A8" w:rsidRPr="004664A8" w:rsidRDefault="004664A8" w:rsidP="004664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1 a 3: Prioridade Crítica</w:t>
      </w:r>
    </w:p>
    <w:p w:rsidR="004664A8" w:rsidRPr="004664A8" w:rsidRDefault="004664A8" w:rsidP="004664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4 a 5: Prioridade Alta</w:t>
      </w:r>
    </w:p>
    <w:p w:rsidR="004664A8" w:rsidRPr="004664A8" w:rsidRDefault="004664A8" w:rsidP="004664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6 a 7: Prioridade Média</w:t>
      </w:r>
    </w:p>
    <w:p w:rsidR="004664A8" w:rsidRPr="004664A8" w:rsidRDefault="004664A8" w:rsidP="004664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8 a 10: Prioridade Baixa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Classificação do IAP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 xml:space="preserve">O IAP é calculado a partir do valor da coluna </w:t>
      </w:r>
      <w:r w:rsidRPr="004664A8">
        <w:rPr>
          <w:rFonts w:ascii="Courier New" w:hAnsi="Courier New" w:cs="Courier New"/>
          <w:sz w:val="20"/>
          <w:szCs w:val="20"/>
        </w:rPr>
        <w:t>iapa</w:t>
      </w:r>
      <w:r w:rsidRPr="004664A8">
        <w:rPr>
          <w:rFonts w:ascii="Times New Roman" w:hAnsi="Times New Roman"/>
          <w:sz w:val="24"/>
          <w:szCs w:val="24"/>
        </w:rPr>
        <w:t>, dividido por 100.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As faixas atuais são:</w:t>
      </w:r>
    </w:p>
    <w:p w:rsidR="004664A8" w:rsidRPr="004664A8" w:rsidRDefault="004664A8" w:rsidP="00466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IAP maior ou igual a 4,01: Excelente</w:t>
      </w:r>
    </w:p>
    <w:p w:rsidR="004664A8" w:rsidRPr="004664A8" w:rsidRDefault="004664A8" w:rsidP="00466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IAP maior ou igual a 3,01: Bom</w:t>
      </w:r>
    </w:p>
    <w:p w:rsidR="004664A8" w:rsidRPr="004664A8" w:rsidRDefault="004664A8" w:rsidP="00466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IAP maior ou igual a 2,51: ++ Regular</w:t>
      </w:r>
    </w:p>
    <w:p w:rsidR="004664A8" w:rsidRPr="004664A8" w:rsidRDefault="004664A8" w:rsidP="00466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IAP maior ou igual a 2,01: - Regular</w:t>
      </w:r>
    </w:p>
    <w:p w:rsidR="004664A8" w:rsidRPr="004664A8" w:rsidRDefault="004664A8" w:rsidP="00466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IAP maior ou igual a 1,01: Mau</w:t>
      </w:r>
    </w:p>
    <w:p w:rsidR="004664A8" w:rsidRPr="004664A8" w:rsidRDefault="004664A8" w:rsidP="00466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Abaixo de 1,01: Péssimo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lastRenderedPageBreak/>
        <w:t xml:space="preserve">Observação: a categoria </w:t>
      </w:r>
      <w:r w:rsidRPr="004664A8">
        <w:rPr>
          <w:rFonts w:ascii="Courier New" w:hAnsi="Courier New" w:cs="Courier New"/>
          <w:sz w:val="20"/>
          <w:szCs w:val="20"/>
        </w:rPr>
        <w:t>+ Regular</w:t>
      </w:r>
      <w:r w:rsidRPr="004664A8">
        <w:rPr>
          <w:rFonts w:ascii="Times New Roman" w:hAnsi="Times New Roman"/>
          <w:sz w:val="24"/>
          <w:szCs w:val="24"/>
        </w:rPr>
        <w:t xml:space="preserve"> aparece em referências visuais, mas não possui uma faixa numérica própria na regra atual.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Classificação de condição técnica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Os índices técnicos ICDS, ICDP e ICDE usam as seguintes faixas:</w:t>
      </w:r>
    </w:p>
    <w:p w:rsidR="004664A8" w:rsidRPr="004664A8" w:rsidRDefault="004664A8" w:rsidP="00466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Maior ou igual a 4,5: Excelente</w:t>
      </w:r>
    </w:p>
    <w:p w:rsidR="004664A8" w:rsidRPr="004664A8" w:rsidRDefault="004664A8" w:rsidP="00466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Maior ou igual a 3,5: Bom</w:t>
      </w:r>
    </w:p>
    <w:p w:rsidR="004664A8" w:rsidRPr="004664A8" w:rsidRDefault="004664A8" w:rsidP="00466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Maior ou igual a 2,5: Regular</w:t>
      </w:r>
    </w:p>
    <w:p w:rsidR="004664A8" w:rsidRPr="004664A8" w:rsidRDefault="004664A8" w:rsidP="00466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Maior ou igual a 1,5: Mau</w:t>
      </w:r>
    </w:p>
    <w:p w:rsidR="004664A8" w:rsidRPr="004664A8" w:rsidRDefault="004664A8" w:rsidP="00466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Abaixo de 1,5: Péssimo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Parâmetros de projeção e cenário econômico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O sistema possui algumas premissas fixas no cenário econômico:</w:t>
      </w:r>
    </w:p>
    <w:p w:rsidR="004664A8" w:rsidRPr="004664A8" w:rsidRDefault="004664A8" w:rsidP="00466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Ano-base econômico: 2026</w:t>
      </w:r>
    </w:p>
    <w:p w:rsidR="004664A8" w:rsidRPr="004664A8" w:rsidRDefault="004664A8" w:rsidP="00466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Horizonte padrão: 8 anos</w:t>
      </w:r>
    </w:p>
    <w:p w:rsidR="004664A8" w:rsidRPr="004664A8" w:rsidRDefault="004664A8" w:rsidP="00466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Horizonte permitido no simulador: de 1 a 30 anos</w:t>
      </w:r>
    </w:p>
    <w:p w:rsidR="004664A8" w:rsidRPr="004664A8" w:rsidRDefault="004664A8" w:rsidP="00466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Trecho executado passa a considerar IAP mínimo de 4,1</w:t>
      </w:r>
    </w:p>
    <w:p w:rsidR="004664A8" w:rsidRPr="004664A8" w:rsidRDefault="004664A8" w:rsidP="00466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Custo evitado é estimado como 35% do custo executado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Critérios usados na visão geral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Na visão geral, alguns indicadores usam limites fixos:</w:t>
      </w:r>
    </w:p>
    <w:p w:rsidR="004664A8" w:rsidRPr="004664A8" w:rsidRDefault="004664A8" w:rsidP="004664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Trecho com IAP abaixo de 2,5 é considerado abaixo da meta</w:t>
      </w:r>
    </w:p>
    <w:p w:rsidR="004664A8" w:rsidRPr="004664A8" w:rsidRDefault="004664A8" w:rsidP="004664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Trecho com IRI acima de 4 é considerado crítico</w:t>
      </w:r>
    </w:p>
    <w:p w:rsidR="004664A8" w:rsidRPr="004664A8" w:rsidRDefault="004664A8" w:rsidP="004664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Trechos prioritários consideram as classes Prioridade Crítica e Prioridade Alta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Classificação DNIT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Para IRI, as faixas atuais são:</w:t>
      </w:r>
    </w:p>
    <w:p w:rsidR="004664A8" w:rsidRPr="004664A8" w:rsidRDefault="004664A8" w:rsidP="00466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IRI até 2,0: Ótimo</w:t>
      </w:r>
    </w:p>
    <w:p w:rsidR="004664A8" w:rsidRPr="004664A8" w:rsidRDefault="004664A8" w:rsidP="00466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IRI até 2,7: Bom</w:t>
      </w:r>
    </w:p>
    <w:p w:rsidR="004664A8" w:rsidRPr="004664A8" w:rsidRDefault="004664A8" w:rsidP="00466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IRI até 3,5: Regular</w:t>
      </w:r>
    </w:p>
    <w:p w:rsidR="004664A8" w:rsidRPr="004664A8" w:rsidRDefault="004664A8" w:rsidP="00466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IRI até 4,6: Ruim</w:t>
      </w:r>
    </w:p>
    <w:p w:rsidR="004664A8" w:rsidRPr="004664A8" w:rsidRDefault="004664A8" w:rsidP="00466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IRI acima de 4,6: Péssimo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Para IGG, as faixas atuais são:</w:t>
      </w:r>
    </w:p>
    <w:p w:rsidR="004664A8" w:rsidRPr="004664A8" w:rsidRDefault="004664A8" w:rsidP="00466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IGG até 20: Ótimo</w:t>
      </w:r>
    </w:p>
    <w:p w:rsidR="004664A8" w:rsidRPr="004664A8" w:rsidRDefault="004664A8" w:rsidP="00466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lastRenderedPageBreak/>
        <w:t>IGG até 40: Bom</w:t>
      </w:r>
    </w:p>
    <w:p w:rsidR="004664A8" w:rsidRPr="004664A8" w:rsidRDefault="004664A8" w:rsidP="00466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IGG até 80: Regular</w:t>
      </w:r>
    </w:p>
    <w:p w:rsidR="004664A8" w:rsidRPr="004664A8" w:rsidRDefault="004664A8" w:rsidP="00466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IGG até 160: Ruim</w:t>
      </w:r>
    </w:p>
    <w:p w:rsidR="004664A8" w:rsidRPr="004664A8" w:rsidRDefault="004664A8" w:rsidP="00466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IGG acima de 160: Péssimo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b/>
          <w:bCs/>
          <w:sz w:val="24"/>
          <w:szCs w:val="24"/>
        </w:rPr>
        <w:t>Parâmetros técnicos do sistema</w:t>
      </w:r>
    </w:p>
    <w:p w:rsidR="004664A8" w:rsidRPr="004664A8" w:rsidRDefault="004664A8" w:rsidP="004664A8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Além das regras de negócio, existem parâmetros técnicos fixos:</w:t>
      </w:r>
    </w:p>
    <w:p w:rsidR="004664A8" w:rsidRPr="004664A8" w:rsidRDefault="004664A8" w:rsidP="00466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Cache padrão: 30 minutos</w:t>
      </w:r>
    </w:p>
    <w:p w:rsidR="004664A8" w:rsidRPr="004664A8" w:rsidRDefault="004664A8" w:rsidP="00466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 xml:space="preserve">Redis local padrão: </w:t>
      </w:r>
      <w:r w:rsidRPr="004664A8">
        <w:rPr>
          <w:rFonts w:ascii="Courier New" w:hAnsi="Courier New" w:cs="Courier New"/>
          <w:sz w:val="20"/>
          <w:szCs w:val="20"/>
        </w:rPr>
        <w:t>localhost:6379</w:t>
      </w:r>
    </w:p>
    <w:p w:rsidR="004664A8" w:rsidRPr="004664A8" w:rsidRDefault="004664A8" w:rsidP="00466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Timeout de conexão com Redis: 1 segundo</w:t>
      </w:r>
    </w:p>
    <w:p w:rsidR="004664A8" w:rsidRPr="004664A8" w:rsidRDefault="004664A8" w:rsidP="00466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 xml:space="preserve">Modelo padrão do IAGON: </w:t>
      </w:r>
      <w:r w:rsidRPr="004664A8">
        <w:rPr>
          <w:rFonts w:ascii="Courier New" w:hAnsi="Courier New" w:cs="Courier New"/>
          <w:sz w:val="20"/>
          <w:szCs w:val="20"/>
        </w:rPr>
        <w:t>gpt-4.1</w:t>
      </w:r>
    </w:p>
    <w:p w:rsidR="004664A8" w:rsidRPr="004664A8" w:rsidRDefault="004664A8" w:rsidP="00466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 xml:space="preserve">Modelo de embeddings do IAGON: </w:t>
      </w:r>
      <w:r w:rsidRPr="004664A8">
        <w:rPr>
          <w:rFonts w:ascii="Courier New" w:hAnsi="Courier New" w:cs="Courier New"/>
          <w:sz w:val="20"/>
          <w:szCs w:val="20"/>
        </w:rPr>
        <w:t>text-embedding-3-small</w:t>
      </w:r>
    </w:p>
    <w:p w:rsidR="004664A8" w:rsidRPr="004664A8" w:rsidRDefault="004664A8" w:rsidP="00466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4664A8">
        <w:rPr>
          <w:rFonts w:ascii="Times New Roman" w:hAnsi="Times New Roman"/>
          <w:sz w:val="24"/>
          <w:szCs w:val="24"/>
        </w:rPr>
        <w:t>Quantidade padrão de itens recuperados pelo IAGON na memória/contexto: 6</w:t>
      </w:r>
    </w:p>
    <w:p w:rsidR="004664A8" w:rsidRDefault="004664A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4664A8" w:rsidRPr="001F0DF2" w:rsidRDefault="004664A8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br w:type="page"/>
      </w:r>
      <w:r w:rsidR="00C2382D">
        <w:rPr>
          <w:rFonts w:ascii="Times New Roman" w:hAnsi="Times New Roman"/>
          <w:bCs/>
          <w:sz w:val="24"/>
          <w:szCs w:val="24"/>
        </w:rPr>
        <w:lastRenderedPageBreak/>
        <w:t>6. Pontos estruturais transversais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Prioridade alta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A aplicação principal concentra navegação, interface, regras de negócio e parte das análises. Recomenda-se evolução gradual para módulos menores por tela.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Há faixas, pesos, cores e critérios definidos diretamente no código em mais de um local. Eles devem ser centralizados e, quando validados, parametrizados.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Existem instruções divergentes sobre instalação. Deve ser definida uma fonte oficial de implantação.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- Não foram identificados testes automatizados no repositório. Recomenda-se iniciar pelos cálculos, classificações e cenários de maior impacto.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7. Plano sugerido de execução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Fase 1 - Estabilização e confirmação de regras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1. Validar filtros, indicadores, classificações e fórmulas com </w:t>
      </w:r>
      <w:r w:rsidR="00C2382D">
        <w:rPr>
          <w:rFonts w:ascii="Times New Roman" w:hAnsi="Times New Roman"/>
          <w:sz w:val="24"/>
          <w:szCs w:val="24"/>
        </w:rPr>
        <w:t>as áreas responsáveis</w:t>
      </w:r>
      <w:r w:rsidRPr="001F0DF2">
        <w:rPr>
          <w:rFonts w:ascii="Times New Roman" w:hAnsi="Times New Roman"/>
          <w:sz w:val="24"/>
          <w:szCs w:val="24"/>
        </w:rPr>
        <w:t>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2. Corrigir dependências e arquivos necessários para instalação completa, especialmente os relacionados ao IAGON.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3. Consolidar a documentação oficial de implantação e operação.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Fase 2 - Melhorias funcionais por tela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1. Padronizar filtros e preservar contexto de análise entre telas.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2. Melhorar mensagens para ausência de dados, falhas e limitações de informação.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3. Padronizar cores, nomenclaturas, legendas e explicações das recomendações.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bCs/>
          <w:sz w:val="24"/>
          <w:szCs w:val="24"/>
        </w:rPr>
        <w:t>Fase 3 - Sustentação e evolução técnica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1. Separar gradualmente responsabilidades da aplicação principal em módulos menores.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2. Centralizar regras de negócio e reduzir duplicações.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3. Criar testes automatizados para cálculos e classificações de maior impacto.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br w:type="page"/>
      </w:r>
      <w:r w:rsidR="00C2382D">
        <w:rPr>
          <w:rFonts w:ascii="Times New Roman" w:hAnsi="Times New Roman"/>
          <w:bCs/>
          <w:sz w:val="24"/>
          <w:szCs w:val="24"/>
        </w:rPr>
        <w:lastRenderedPageBreak/>
        <w:t>8. Decisões necessárias da gestão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1. Confirmar quais telas e funções são prioritárias para uso operacional imediato.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2. Definir os responsáveis por validar regras técnicas, econômicas e de priorização.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3. Informar se o módulo IAGON faz parte da entrega produtiva atual.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>4. Aprovar ambiente de homologação e rotina de testes antes de publicar mudanças.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C2382D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9. Conclusão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sz w:val="24"/>
          <w:szCs w:val="24"/>
        </w:rPr>
        <w:t xml:space="preserve">O painel já reúne uma base importante para análise de pavimentos. </w:t>
      </w:r>
      <w:r w:rsidR="00C2382D">
        <w:rPr>
          <w:rFonts w:ascii="Times New Roman" w:hAnsi="Times New Roman"/>
          <w:sz w:val="24"/>
          <w:szCs w:val="24"/>
        </w:rPr>
        <w:t>O caminho recomendado é estabilizar</w:t>
      </w:r>
      <w:r w:rsidRPr="001F0DF2">
        <w:rPr>
          <w:rFonts w:ascii="Times New Roman" w:hAnsi="Times New Roman"/>
          <w:sz w:val="24"/>
          <w:szCs w:val="24"/>
        </w:rPr>
        <w:t xml:space="preserve"> os pontos que afetam confiabilidade, padronizar a experiência entre telas e evoluir a estrutura interna de forma gradual. Dessa forma, cada melhoria pode ser validada </w:t>
      </w:r>
      <w:r w:rsidR="00C2382D">
        <w:rPr>
          <w:rFonts w:ascii="Times New Roman" w:hAnsi="Times New Roman"/>
          <w:sz w:val="24"/>
          <w:szCs w:val="24"/>
        </w:rPr>
        <w:t>pela área de negócio</w:t>
      </w:r>
      <w:r w:rsidRPr="001F0DF2">
        <w:rPr>
          <w:rFonts w:ascii="Times New Roman" w:hAnsi="Times New Roman"/>
          <w:sz w:val="24"/>
          <w:szCs w:val="24"/>
        </w:rPr>
        <w:t xml:space="preserve"> antes de seguir para produção, com menor risco e melhor previsibilidade.</w:t>
      </w: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:rsidR="000E7251" w:rsidRPr="001F0DF2" w:rsidRDefault="000E7251" w:rsidP="001F0DF2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1F0DF2">
        <w:rPr>
          <w:rFonts w:ascii="Times New Roman" w:hAnsi="Times New Roman"/>
          <w:i/>
          <w:iCs/>
          <w:sz w:val="24"/>
          <w:szCs w:val="24"/>
        </w:rPr>
        <w:t>Observação: este documento foi elaborado a partir da análise do repositório e de sua documentação disponível em 10/07/2026. Os itens que dependem de validação de regra de negócio não devem ser tratados como defeito funcional confirmado sem confronto com o ambiente produtivo.</w:t>
      </w:r>
    </w:p>
    <w:sectPr w:rsidR="000E7251" w:rsidRPr="001F0DF2">
      <w:pgSz w:w="11907" w:h="16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F55B1" w:rsidRDefault="000F55B1" w:rsidP="00185A48">
      <w:pPr>
        <w:spacing w:after="0" w:line="240" w:lineRule="auto"/>
      </w:pPr>
      <w:r>
        <w:separator/>
      </w:r>
    </w:p>
  </w:endnote>
  <w:endnote w:type="continuationSeparator" w:id="0">
    <w:p w:rsidR="000F55B1" w:rsidRDefault="000F55B1" w:rsidP="00185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F55B1" w:rsidRDefault="000F55B1" w:rsidP="00185A48">
      <w:pPr>
        <w:spacing w:after="0" w:line="240" w:lineRule="auto"/>
      </w:pPr>
      <w:r>
        <w:separator/>
      </w:r>
    </w:p>
  </w:footnote>
  <w:footnote w:type="continuationSeparator" w:id="0">
    <w:p w:rsidR="000F55B1" w:rsidRDefault="000F55B1" w:rsidP="00185A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3635F0"/>
    <w:multiLevelType w:val="multilevel"/>
    <w:tmpl w:val="F564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52078AC"/>
    <w:multiLevelType w:val="multilevel"/>
    <w:tmpl w:val="3C82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4A54BAC"/>
    <w:multiLevelType w:val="multilevel"/>
    <w:tmpl w:val="A29C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0E829DE"/>
    <w:multiLevelType w:val="multilevel"/>
    <w:tmpl w:val="B75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7E06A1A"/>
    <w:multiLevelType w:val="multilevel"/>
    <w:tmpl w:val="8334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A9430B9"/>
    <w:multiLevelType w:val="multilevel"/>
    <w:tmpl w:val="AE86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9953F18"/>
    <w:multiLevelType w:val="multilevel"/>
    <w:tmpl w:val="640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B100D54"/>
    <w:multiLevelType w:val="multilevel"/>
    <w:tmpl w:val="003A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EA92021"/>
    <w:multiLevelType w:val="multilevel"/>
    <w:tmpl w:val="755A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8731B0C"/>
    <w:multiLevelType w:val="multilevel"/>
    <w:tmpl w:val="C6C4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8E549B9"/>
    <w:multiLevelType w:val="multilevel"/>
    <w:tmpl w:val="FD56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3"/>
  </w:num>
  <w:num w:numId="5">
    <w:abstractNumId w:val="2"/>
  </w:num>
  <w:num w:numId="6">
    <w:abstractNumId w:val="10"/>
  </w:num>
  <w:num w:numId="7">
    <w:abstractNumId w:val="0"/>
  </w:num>
  <w:num w:numId="8">
    <w:abstractNumId w:val="5"/>
  </w:num>
  <w:num w:numId="9">
    <w:abstractNumId w:val="6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0DF2"/>
    <w:rsid w:val="0008046F"/>
    <w:rsid w:val="000E7251"/>
    <w:rsid w:val="000F55B1"/>
    <w:rsid w:val="00127F4C"/>
    <w:rsid w:val="00185A48"/>
    <w:rsid w:val="001F0DF2"/>
    <w:rsid w:val="0022668D"/>
    <w:rsid w:val="00335F08"/>
    <w:rsid w:val="003E2835"/>
    <w:rsid w:val="004624C6"/>
    <w:rsid w:val="004664A8"/>
    <w:rsid w:val="004F4474"/>
    <w:rsid w:val="00517022"/>
    <w:rsid w:val="00597763"/>
    <w:rsid w:val="005F06CF"/>
    <w:rsid w:val="007C1101"/>
    <w:rsid w:val="00834639"/>
    <w:rsid w:val="00A60121"/>
    <w:rsid w:val="00B4468E"/>
    <w:rsid w:val="00C2382D"/>
    <w:rsid w:val="00EE78B9"/>
    <w:rsid w:val="00F46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3CDD18FA-5DCB-4479-88D6-DBC7FE86A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85A4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locked/>
    <w:rsid w:val="00185A48"/>
    <w:rPr>
      <w:rFonts w:cs="Times New Roman"/>
    </w:rPr>
  </w:style>
  <w:style w:type="paragraph" w:styleId="Rodap">
    <w:name w:val="footer"/>
    <w:basedOn w:val="Normal"/>
    <w:link w:val="RodapChar"/>
    <w:uiPriority w:val="99"/>
    <w:unhideWhenUsed/>
    <w:rsid w:val="00185A4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185A48"/>
    <w:rPr>
      <w:rFonts w:cs="Times New Roman"/>
    </w:rPr>
  </w:style>
  <w:style w:type="paragraph" w:styleId="NormalWeb">
    <w:name w:val="Normal (Web)"/>
    <w:basedOn w:val="Normal"/>
    <w:uiPriority w:val="99"/>
    <w:semiHidden/>
    <w:unhideWhenUsed/>
    <w:rsid w:val="004664A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4664A8"/>
    <w:rPr>
      <w:rFonts w:cs="Times New Roman"/>
      <w:b/>
    </w:rPr>
  </w:style>
  <w:style w:type="character" w:styleId="CdigoHTML">
    <w:name w:val="HTML Code"/>
    <w:basedOn w:val="Fontepargpadro"/>
    <w:uiPriority w:val="99"/>
    <w:semiHidden/>
    <w:unhideWhenUsed/>
    <w:rsid w:val="004664A8"/>
    <w:rPr>
      <w:rFonts w:ascii="Courier New" w:hAnsi="Courier New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81199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99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2516</Words>
  <Characters>13590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Silva - PAVIM</dc:creator>
  <cp:keywords/>
  <dc:description/>
  <cp:lastModifiedBy>Bruno Silva - PAVIM</cp:lastModifiedBy>
  <cp:revision>2</cp:revision>
  <dcterms:created xsi:type="dcterms:W3CDTF">2026-07-10T19:47:00Z</dcterms:created>
  <dcterms:modified xsi:type="dcterms:W3CDTF">2026-07-10T19:47:00Z</dcterms:modified>
</cp:coreProperties>
</file>