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B3B5C"/>
          <w:sz w:val="44"/>
          <w:szCs w:val="44"/>
        </w:rPr>
        <w:t xml:space="preserve">Advanced Primary Care Management</w:t>
      </w:r>
    </w:p>
    <w:p>
      <w:pPr>
        <w:spacing w:after="80"/>
      </w:pPr>
      <w:r>
        <w:rPr>
          <w:rFonts w:ascii="Arial" w:cs="Arial" w:eastAsia="Arial" w:hAnsi="Arial"/>
          <w:i/>
          <w:iCs/>
          <w:color w:val="555555"/>
          <w:sz w:val="24"/>
          <w:szCs w:val="24"/>
        </w:rPr>
        <w:t xml:space="preserve">The 2025 regulatory unlock that makes 500-patient nurse panels structurally possible</w:t>
      </w:r>
    </w:p>
    <w:p>
      <w:pPr>
        <w:spacing w:after="360"/>
      </w:pPr>
      <w:r>
        <w:rPr>
          <w:rFonts w:ascii="Arial" w:cs="Arial" w:eastAsia="Arial" w:hAnsi="Arial"/>
          <w:color w:val="888888"/>
          <w:sz w:val="20"/>
          <w:szCs w:val="20"/>
        </w:rPr>
        <w:t xml:space="preserve">Prepared for: Foresight Health interview (Tienlan Sun)  •  May 2026  •  Dhruv Lalwani</w:t>
      </w:r>
    </w:p>
    <w:p>
      <w:pPr>
        <w:pStyle w:val="Heading1"/>
        <w:spacing w:after="160" w:before="320"/>
      </w:pPr>
      <w:r>
        <w:rPr>
          <w:rFonts w:ascii="Arial" w:cs="Arial" w:eastAsia="Arial" w:hAnsi="Arial"/>
          <w:b/>
          <w:bCs/>
          <w:color w:val="0B3B5C"/>
          <w:sz w:val="32"/>
          <w:szCs w:val="32"/>
        </w:rPr>
        <w:t xml:space="preserve">The short version</w:t>
      </w:r>
    </w:p>
    <w:p>
      <w:pPr>
        <w:spacing w:after="120" w:line="300"/>
      </w:pPr>
      <w:r>
        <w:rPr>
          <w:rFonts w:ascii="Arial" w:cs="Arial" w:eastAsia="Arial" w:hAnsi="Arial"/>
          <w:sz w:val="22"/>
          <w:szCs w:val="22"/>
        </w:rPr>
        <w:t xml:space="preserve">Advanced Primary Care Management is the successor program to Chronic Care Management, finalized in the calendar year 2025 Medicare Physician Fee Schedule and live since January 1, 2025. It replaces minute-based billing with a service-element attestation across three risk-tiered Healthcare Common Procedure Coding System codes (G0556, G0557, G0558). Removing the time clock removes the operational ceiling that capped Chronic Care Management nurse panels around three hundred. It is the regulatory shape that an artificial intelligence-augmented care model needs to function at scale, which is why Foresight is building toward it.</w:t>
      </w:r>
    </w:p>
    <w:p>
      <w:pPr>
        <w:pStyle w:val="Heading1"/>
        <w:spacing w:after="160" w:before="320"/>
      </w:pPr>
      <w:r>
        <w:rPr>
          <w:rFonts w:ascii="Arial" w:cs="Arial" w:eastAsia="Arial" w:hAnsi="Arial"/>
          <w:b/>
          <w:bCs/>
          <w:color w:val="0B3B5C"/>
          <w:sz w:val="32"/>
          <w:szCs w:val="32"/>
        </w:rPr>
        <w:t xml:space="preserve">1. Origin and Timeline</w:t>
      </w:r>
    </w:p>
    <w:p>
      <w:pPr>
        <w:spacing w:after="120" w:line="300"/>
      </w:pPr>
      <w:r>
        <w:rPr>
          <w:rFonts w:ascii="Arial" w:cs="Arial" w:eastAsia="Arial" w:hAnsi="Arial"/>
          <w:sz w:val="22"/>
          <w:szCs w:val="22"/>
        </w:rPr>
        <w:t xml:space="preserve">the Centers for Medicare and Medicaid Services finalized Advanced Primary Care Management in the calendar year 2025 Medicare Physician Fee Schedule Final Rule (CMS-1807-F), published November 2024 and effective January 1, 2025. The agency’s stated motivation was to advance value-based and accountable care goals by recognizing the longitudinal, panel-level work that primary care already performs, and by reducing the administrative drag that has limited adoption of Chronic Care Management, Principal Care Management (Principal Care Management), and Transitional Care Management (Transitional Care Management).</w:t>
      </w:r>
    </w:p>
    <w:p>
      <w:pPr>
        <w:spacing w:after="120" w:line="300"/>
      </w:pPr>
      <w:r>
        <w:rPr>
          <w:rFonts w:ascii="Arial" w:cs="Arial" w:eastAsia="Arial" w:hAnsi="Arial"/>
          <w:sz w:val="22"/>
          <w:szCs w:val="22"/>
        </w:rPr>
        <w:t xml:space="preserve">Two contextual notes that matter for interview conversations. First, the Centers for Medicare and Medicaid Services explicitly tied Advanced Primary Care Management to value-based infrastructure: a clinician already participating in the Medicare Shared Savings Program accountable care organization, an Innovation Center accountable care organization (the Realizing Equity, Access, and Community Health model), Making Care Primary, or Primary Care First automatically satisfies Advanced Primary Care Management’s practice-level requirements for population management and performance measurement. Advanced Primary Care Management is, in effect, a bridge fee-schedule code for practices moving into total cost of care arrangements. Second, the Making Care Primary (Making Care Primary) demonstration that launched July 1, 2024 was terminated early on June 30, 2025, announced March 12, 2025. Advanced Primary Care Management became the durable, fee-schedule-anchored vehicle for many of the capabilities Making Care Primary was piloting — ensuring those care delivery elements remain reimbursable even as the Center for Medicare and Medicaid Innovation restructures.</w:t>
      </w:r>
    </w:p>
    <w:p>
      <w:pPr>
        <w:spacing w:after="120" w:line="300"/>
      </w:pPr>
      <w:r>
        <w:rPr>
          <w:rFonts w:ascii="Arial" w:cs="Arial" w:eastAsia="Arial" w:hAnsi="Arial"/>
          <w:sz w:val="22"/>
          <w:szCs w:val="22"/>
        </w:rPr>
        <w:t xml:space="preserve">Advanced Primary Care Management does not formally replace Chronic Care Management, Principal Care Management, or Transitional Care Management in the code set, but it is mutually exclusive with them in any given month for a given beneficiary. Functionally, for primary care practices managing a longitudinal panel, Advanced Primary Care Management is the successor.</w:t>
      </w:r>
    </w:p>
    <w:p>
      <w:pPr>
        <w:pStyle w:val="Heading1"/>
        <w:spacing w:after="160" w:before="320"/>
      </w:pPr>
      <w:r>
        <w:rPr>
          <w:rFonts w:ascii="Arial" w:cs="Arial" w:eastAsia="Arial" w:hAnsi="Arial"/>
          <w:b/>
          <w:bCs/>
          <w:color w:val="0B3B5C"/>
          <w:sz w:val="32"/>
          <w:szCs w:val="32"/>
        </w:rPr>
        <w:t xml:space="preserve">2. The Three Codes (The Core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900"/>
        <w:gridCol w:w="1300"/>
        <w:gridCol w:w="1300"/>
        <w:gridCol w:w="1560"/>
      </w:tblGrid>
      <w:tr>
        <w:tc>
          <w:tcPr>
            <w:tcW w:type="dxa" w:w="11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Healthcare Common Procedure Coding System</w:t>
            </w:r>
          </w:p>
        </w:tc>
        <w:tc>
          <w:tcPr>
            <w:tcW w:type="dxa" w:w="12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Level</w:t>
            </w:r>
          </w:p>
        </w:tc>
        <w:tc>
          <w:tcPr>
            <w:tcW w:type="dxa" w:w="29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Population</w:t>
            </w:r>
          </w:p>
        </w:tc>
        <w:tc>
          <w:tcPr>
            <w:tcW w:type="dxa" w:w="13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2025 rate</w:t>
            </w:r>
          </w:p>
        </w:tc>
        <w:tc>
          <w:tcPr>
            <w:tcW w:type="dxa" w:w="13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2026 est.</w:t>
            </w:r>
          </w:p>
        </w:tc>
        <w:tc>
          <w:tcPr>
            <w:tcW w:type="dxa" w:w="156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Time req.</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G0556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Level 1</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0–1 chronic conditions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$15.20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~$16.70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NONE</w:t>
            </w:r>
          </w:p>
        </w:tc>
      </w:tr>
      <w:tr>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G0557</w:t>
            </w:r>
          </w:p>
        </w:tc>
        <w:tc>
          <w:tcPr>
            <w:tcW w:type="dxa" w:w="1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Level 2</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chronic conditions</w:t>
            </w:r>
          </w:p>
        </w:tc>
        <w:tc>
          <w:tcPr>
            <w:tcW w:type="dxa" w:w="1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$48.84</w:t>
            </w:r>
          </w:p>
        </w:tc>
        <w:tc>
          <w:tcPr>
            <w:tcW w:type="dxa" w:w="1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~$54</w:t>
            </w:r>
          </w:p>
        </w:tc>
        <w:tc>
          <w:tcPr>
            <w:tcW w:type="dxa" w:w="15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NONE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G0558</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Level 3</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 chronic + Qualified Medicare Beneficiary (dual-eligible)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$107.07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~$117</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NONE</w:t>
            </w:r>
          </w:p>
        </w:tc>
      </w:tr>
    </w:tbl>
    <w:p>
      <w:pPr>
        <w:spacing w:after="120" w:line="300"/>
      </w:pPr>
      <w:r>
        <w:rPr>
          <w:rFonts w:ascii="Arial" w:cs="Arial" w:eastAsia="Arial" w:hAnsi="Arial"/>
          <w:sz w:val="22"/>
          <w:szCs w:val="22"/>
        </w:rPr>
        <w:t xml:space="preserve">These are the published calendar year 2025 national average non-facility allowables. The calendar year 2026 Final Rule (CMS-1832-F, published November 5, 2025) raised the care-management code family by approximately ten percent across the board; the 2026 figures above apply that scaler. Cents-accurate 2026 numbers should be verified against the Centers for Medicare and Medicaid Services Physician Fee Schedule Look-up Tool before being quoted in a public deck.</w:t>
      </w:r>
    </w:p>
    <w:p>
      <w:pPr>
        <w:spacing w:after="80" w:before="180"/>
      </w:pPr>
      <w:r>
        <w:rPr>
          <w:rFonts w:ascii="Arial" w:cs="Arial" w:eastAsia="Arial" w:hAnsi="Arial"/>
          <w:b/>
          <w:bCs/>
          <w:color w:val="1A1A1A"/>
          <w:sz w:val="23"/>
          <w:szCs w:val="23"/>
        </w:rPr>
        <w:t xml:space="preserve">The killer features</w:t>
      </w:r>
    </w:p>
    <w:p>
      <w:pPr>
        <w:pStyle w:val="ListParagraph"/>
        <w:numPr>
          <w:ilvl w:val="0"/>
          <w:numId w:val="2"/>
        </w:numPr>
        <w:spacing w:after="60" w:line="280"/>
      </w:pPr>
      <w:r>
        <w:rPr>
          <w:rFonts w:ascii="Arial" w:cs="Arial" w:eastAsia="Arial" w:hAnsi="Arial"/>
          <w:b/>
          <w:bCs/>
          <w:sz w:val="22"/>
          <w:szCs w:val="22"/>
        </w:rPr>
        <w:t xml:space="preserve">No time-based threshold. </w:t>
      </w:r>
      <w:r>
        <w:rPr>
          <w:rFonts w:ascii="Arial" w:cs="Arial" w:eastAsia="Arial" w:hAnsi="Arial"/>
          <w:sz w:val="22"/>
          <w:szCs w:val="22"/>
        </w:rPr>
        <w:t xml:space="preserve">the Centers for Medicare and Medicaid Services explicitly removed the per-month minute requirement that constrains Chronic Care Management (20 min) and Principal Care Management (30 min). Practitioners attest to capability and delivery of service elements, not stopwatch documentation. This is the single most important regulatory fact for the Foresight thesis.</w:t>
      </w:r>
    </w:p>
    <w:p>
      <w:pPr>
        <w:pStyle w:val="ListParagraph"/>
        <w:numPr>
          <w:ilvl w:val="0"/>
          <w:numId w:val="2"/>
        </w:numPr>
        <w:spacing w:after="60" w:line="280"/>
      </w:pPr>
      <w:r>
        <w:rPr>
          <w:rFonts w:ascii="Arial" w:cs="Arial" w:eastAsia="Arial" w:hAnsi="Arial"/>
          <w:b/>
          <w:bCs/>
          <w:sz w:val="22"/>
          <w:szCs w:val="22"/>
        </w:rPr>
        <w:t xml:space="preserve">Once per calendar month per beneficiary, </w:t>
      </w:r>
      <w:r>
        <w:rPr>
          <w:rFonts w:ascii="Arial" w:cs="Arial" w:eastAsia="Arial" w:hAnsi="Arial"/>
          <w:sz w:val="22"/>
          <w:szCs w:val="22"/>
        </w:rPr>
        <w:t xml:space="preserve">billable only by the single designated practitioner. Attribution is enforced operationally, not by claim system. One “most responsible” primary care provider holds the bill.</w:t>
      </w:r>
    </w:p>
    <w:p>
      <w:pPr>
        <w:pStyle w:val="ListParagraph"/>
        <w:numPr>
          <w:ilvl w:val="0"/>
          <w:numId w:val="2"/>
        </w:numPr>
        <w:spacing w:after="60" w:line="280"/>
      </w:pPr>
      <w:r>
        <w:rPr>
          <w:rFonts w:ascii="Arial" w:cs="Arial" w:eastAsia="Arial" w:hAnsi="Arial"/>
          <w:b/>
          <w:bCs/>
          <w:sz w:val="22"/>
          <w:szCs w:val="22"/>
        </w:rPr>
        <w:t xml:space="preserve">Patient cost-sharing. </w:t>
      </w:r>
      <w:r>
        <w:rPr>
          <w:rFonts w:ascii="Arial" w:cs="Arial" w:eastAsia="Arial" w:hAnsi="Arial"/>
          <w:sz w:val="22"/>
          <w:szCs w:val="22"/>
        </w:rPr>
        <w:t xml:space="preserve">Standard Part B 20% coinsurance applies after deductible for G0556 and G0557. Qualified Medicare Beneficiary patients (G0558) are fully exempt from cost-sharing and cannot be balance-billed even if Medicaid does not reimburse the difference. the Centers for Medicare and Medicaid Services has considered in the calendar year 2026 Proposed Rule whether to designate Advanced Primary Care Management as a preventive service to eliminate cost-sharing entirely; this remains unresolved.</w:t>
      </w:r>
    </w:p>
    <w:p>
      <w:pPr>
        <w:pStyle w:val="Heading1"/>
        <w:spacing w:after="160" w:before="320"/>
      </w:pPr>
      <w:r>
        <w:rPr>
          <w:rFonts w:ascii="Arial" w:cs="Arial" w:eastAsia="Arial" w:hAnsi="Arial"/>
          <w:b/>
          <w:bCs/>
          <w:color w:val="0B3B5C"/>
          <w:sz w:val="32"/>
          <w:szCs w:val="32"/>
        </w:rPr>
        <w:t xml:space="preserve">3. The Service Elements (What Practices Must Be Able to Deliver)</w:t>
      </w:r>
    </w:p>
    <w:p>
      <w:pPr>
        <w:spacing w:after="120" w:line="300"/>
      </w:pPr>
      <w:r>
        <w:rPr>
          <w:rFonts w:ascii="Arial" w:cs="Arial" w:eastAsia="Arial" w:hAnsi="Arial"/>
          <w:sz w:val="22"/>
          <w:szCs w:val="22"/>
        </w:rPr>
        <w:t xml:space="preserve">the Centers for Medicare and Medicaid Services requires the billing practice to have the capability to deliver all of the following elements. Crucially, not every element must be delivered every month — the practice must be able to deliver them on demand. The canonical list, aggregated from the Centers for Medicare and Medicaid Services Advanced Primary Care Management page, the American Academy of Family Physicians coding guide, the National Association of Community Health Centers tip sheet, and the Federal Register Final Rule text:</w:t>
      </w:r>
    </w:p>
    <w:p>
      <w:pPr>
        <w:pStyle w:val="ListParagraph"/>
        <w:numPr>
          <w:ilvl w:val="0"/>
          <w:numId w:val="2"/>
        </w:numPr>
        <w:spacing w:after="60" w:line="280"/>
      </w:pPr>
      <w:r>
        <w:rPr>
          <w:rFonts w:ascii="Arial" w:cs="Arial" w:eastAsia="Arial" w:hAnsi="Arial"/>
          <w:sz w:val="22"/>
          <w:szCs w:val="22"/>
        </w:rPr>
        <w:t xml:space="preserve">Patient consent (verbal or written, documented once — not monthly).</w:t>
      </w:r>
    </w:p>
    <w:p>
      <w:pPr>
        <w:pStyle w:val="ListParagraph"/>
        <w:numPr>
          <w:ilvl w:val="0"/>
          <w:numId w:val="2"/>
        </w:numPr>
        <w:spacing w:after="60" w:line="280"/>
      </w:pPr>
      <w:r>
        <w:rPr>
          <w:rFonts w:ascii="Arial" w:cs="Arial" w:eastAsia="Arial" w:hAnsi="Arial"/>
          <w:sz w:val="22"/>
          <w:szCs w:val="22"/>
        </w:rPr>
        <w:t xml:space="preserve">Initiating visit for new patients or those not seen in 3 years (billed separately).</w:t>
      </w:r>
    </w:p>
    <w:p>
      <w:pPr>
        <w:pStyle w:val="ListParagraph"/>
        <w:numPr>
          <w:ilvl w:val="0"/>
          <w:numId w:val="2"/>
        </w:numPr>
        <w:spacing w:after="60" w:line="280"/>
      </w:pPr>
      <w:r>
        <w:rPr>
          <w:rFonts w:ascii="Arial" w:cs="Arial" w:eastAsia="Arial" w:hAnsi="Arial"/>
          <w:sz w:val="22"/>
          <w:szCs w:val="22"/>
        </w:rPr>
        <w:t xml:space="preserve">24/7 access to care with real-time access to the patient’s medical record for urgent needs.</w:t>
      </w:r>
    </w:p>
    <w:p>
      <w:pPr>
        <w:pStyle w:val="ListParagraph"/>
        <w:numPr>
          <w:ilvl w:val="0"/>
          <w:numId w:val="2"/>
        </w:numPr>
        <w:spacing w:after="60" w:line="280"/>
      </w:pPr>
      <w:r>
        <w:rPr>
          <w:rFonts w:ascii="Arial" w:cs="Arial" w:eastAsia="Arial" w:hAnsi="Arial"/>
          <w:sz w:val="22"/>
          <w:szCs w:val="22"/>
        </w:rPr>
        <w:t xml:space="preserve">Continuity of care with a designated care team member with whom the patient has a successive routine appointment.</w:t>
      </w:r>
    </w:p>
    <w:p>
      <w:pPr>
        <w:pStyle w:val="ListParagraph"/>
        <w:numPr>
          <w:ilvl w:val="0"/>
          <w:numId w:val="2"/>
        </w:numPr>
        <w:spacing w:after="60" w:line="280"/>
      </w:pPr>
      <w:r>
        <w:rPr>
          <w:rFonts w:ascii="Arial" w:cs="Arial" w:eastAsia="Arial" w:hAnsi="Arial"/>
          <w:sz w:val="22"/>
          <w:szCs w:val="22"/>
        </w:rPr>
        <w:t xml:space="preserve">Comprehensive care management (systematic needs assessment, preventive services, medication reconciliation, self-management support).</w:t>
      </w:r>
    </w:p>
    <w:p>
      <w:pPr>
        <w:pStyle w:val="ListParagraph"/>
        <w:numPr>
          <w:ilvl w:val="0"/>
          <w:numId w:val="2"/>
        </w:numPr>
        <w:spacing w:after="60" w:line="280"/>
      </w:pPr>
      <w:r>
        <w:rPr>
          <w:rFonts w:ascii="Arial" w:cs="Arial" w:eastAsia="Arial" w:hAnsi="Arial"/>
          <w:sz w:val="22"/>
          <w:szCs w:val="22"/>
        </w:rPr>
        <w:t xml:space="preserve">Patient-centered comprehensive care plan — electronic, shareable with patient and caregiver, regularly updated.</w:t>
      </w:r>
    </w:p>
    <w:p>
      <w:pPr>
        <w:pStyle w:val="ListParagraph"/>
        <w:numPr>
          <w:ilvl w:val="0"/>
          <w:numId w:val="2"/>
        </w:numPr>
        <w:spacing w:after="60" w:line="280"/>
      </w:pPr>
      <w:r>
        <w:rPr>
          <w:rFonts w:ascii="Arial" w:cs="Arial" w:eastAsia="Arial" w:hAnsi="Arial"/>
          <w:sz w:val="22"/>
          <w:szCs w:val="22"/>
        </w:rPr>
        <w:t xml:space="preserve">Management of care transitions: emergency department, hospital, skilled nursing facility discharge follow-up; communication of clinical information within 7 business days.</w:t>
      </w:r>
    </w:p>
    <w:p>
      <w:pPr>
        <w:pStyle w:val="ListParagraph"/>
        <w:numPr>
          <w:ilvl w:val="0"/>
          <w:numId w:val="2"/>
        </w:numPr>
        <w:spacing w:after="60" w:line="280"/>
      </w:pPr>
      <w:r>
        <w:rPr>
          <w:rFonts w:ascii="Arial" w:cs="Arial" w:eastAsia="Arial" w:hAnsi="Arial"/>
          <w:sz w:val="22"/>
          <w:szCs w:val="22"/>
        </w:rPr>
        <w:t xml:space="preserve">Practitioner, home, and community-based care coordination, with documentation of coordination with home and community service providers.</w:t>
      </w:r>
    </w:p>
    <w:p>
      <w:pPr>
        <w:pStyle w:val="ListParagraph"/>
        <w:numPr>
          <w:ilvl w:val="0"/>
          <w:numId w:val="2"/>
        </w:numPr>
        <w:spacing w:after="60" w:line="280"/>
      </w:pPr>
      <w:r>
        <w:rPr>
          <w:rFonts w:ascii="Arial" w:cs="Arial" w:eastAsia="Arial" w:hAnsi="Arial"/>
          <w:sz w:val="22"/>
          <w:szCs w:val="22"/>
        </w:rPr>
        <w:t xml:space="preserve">Enhanced communication: asynchronous non-face-to-face channels — patient portal, secure messaging, email, phone.</w:t>
      </w:r>
    </w:p>
    <w:p>
      <w:pPr>
        <w:pStyle w:val="ListParagraph"/>
        <w:numPr>
          <w:ilvl w:val="0"/>
          <w:numId w:val="2"/>
        </w:numPr>
        <w:spacing w:after="60" w:line="280"/>
      </w:pPr>
      <w:r>
        <w:rPr>
          <w:rFonts w:ascii="Arial" w:cs="Arial" w:eastAsia="Arial" w:hAnsi="Arial"/>
          <w:sz w:val="22"/>
          <w:szCs w:val="22"/>
        </w:rPr>
        <w:t xml:space="preserve">Patient population-level management: analyze data to identify gaps and risk-stratify the panel.</w:t>
      </w:r>
    </w:p>
    <w:p>
      <w:pPr>
        <w:pStyle w:val="ListParagraph"/>
        <w:numPr>
          <w:ilvl w:val="0"/>
          <w:numId w:val="2"/>
        </w:numPr>
        <w:spacing w:after="60" w:line="280"/>
      </w:pPr>
      <w:r>
        <w:rPr>
          <w:rFonts w:ascii="Arial" w:cs="Arial" w:eastAsia="Arial" w:hAnsi="Arial"/>
          <w:sz w:val="22"/>
          <w:szCs w:val="22"/>
        </w:rPr>
        <w:t xml:space="preserve">Performance measurement: the Merit-based Incentive Payment System reporting under the Value in Primary Care Merit-based Incentive Payment System Value Pathway, equivalent electronic clinical quality measures, or accountable care organization participation.</w:t>
      </w:r>
    </w:p>
    <w:p>
      <w:pPr>
        <w:spacing w:after="120" w:line="300"/>
      </w:pPr>
      <w:r>
        <w:rPr>
          <w:rFonts w:ascii="Arial" w:cs="Arial" w:eastAsia="Arial" w:hAnsi="Arial"/>
          <w:sz w:val="22"/>
          <w:szCs w:val="22"/>
        </w:rPr>
        <w:t xml:space="preserve">Some secondary sources expand this to thirteen elements by splitting risk stratification, alternative care delivery, and population data analysis into separate items. For interview rigor, the American Academy of Family Physicians and the Centers for Medicare and Medicaid Services framing of roughly ten or eleven capabilities is most defensible.</w:t>
      </w:r>
    </w:p>
    <w:p>
      <w:pPr>
        <w:pStyle w:val="Heading1"/>
        <w:spacing w:after="160" w:before="320"/>
      </w:pPr>
      <w:r>
        <w:rPr>
          <w:rFonts w:ascii="Arial" w:cs="Arial" w:eastAsia="Arial" w:hAnsi="Arial"/>
          <w:b/>
          <w:bCs/>
          <w:color w:val="0B3B5C"/>
          <w:sz w:val="32"/>
          <w:szCs w:val="32"/>
        </w:rPr>
        <w:t xml:space="preserve">4. Eligibility and Concurrent Billing</w:t>
      </w:r>
    </w:p>
    <w:p>
      <w:pPr>
        <w:spacing w:after="80" w:before="180"/>
      </w:pPr>
      <w:r>
        <w:rPr>
          <w:rFonts w:ascii="Arial" w:cs="Arial" w:eastAsia="Arial" w:hAnsi="Arial"/>
          <w:b/>
          <w:bCs/>
          <w:color w:val="1A1A1A"/>
          <w:sz w:val="23"/>
          <w:szCs w:val="23"/>
        </w:rPr>
        <w:t xml:space="preserve">Patient eligibility</w:t>
      </w:r>
    </w:p>
    <w:p>
      <w:pPr>
        <w:spacing w:after="120" w:line="300"/>
      </w:pPr>
      <w:r>
        <w:rPr>
          <w:rFonts w:ascii="Arial" w:cs="Arial" w:eastAsia="Arial" w:hAnsi="Arial"/>
          <w:sz w:val="22"/>
          <w:szCs w:val="22"/>
        </w:rPr>
        <w:t xml:space="preserve">The patient must have an established primary care relationship with the billing practitioner — the “continuing focal point for all needed health care services.” Consent is required once, not monthly. Attribution is single-practitioner per beneficiary per month. Level 3 (G0558) requires verification of Qualified Medicare Beneficiary status.</w:t>
      </w:r>
    </w:p>
    <w:p>
      <w:pPr>
        <w:spacing w:after="80" w:before="180"/>
      </w:pPr>
      <w:r>
        <w:rPr>
          <w:rFonts w:ascii="Arial" w:cs="Arial" w:eastAsia="Arial" w:hAnsi="Arial"/>
          <w:b/>
          <w:bCs/>
          <w:color w:val="1A1A1A"/>
          <w:sz w:val="23"/>
          <w:szCs w:val="23"/>
        </w:rPr>
        <w:t xml:space="preserve">Cannot be billed in the same month for the same patient</w:t>
      </w:r>
    </w:p>
    <w:p>
      <w:pPr>
        <w:pStyle w:val="ListParagraph"/>
        <w:numPr>
          <w:ilvl w:val="0"/>
          <w:numId w:val="2"/>
        </w:numPr>
        <w:spacing w:after="60" w:line="280"/>
      </w:pPr>
      <w:r>
        <w:rPr>
          <w:rFonts w:ascii="Arial" w:cs="Arial" w:eastAsia="Arial" w:hAnsi="Arial"/>
          <w:sz w:val="22"/>
          <w:szCs w:val="22"/>
        </w:rPr>
        <w:t xml:space="preserve">Chronic Care Management (99490, 99439, 99487, 99489)</w:t>
      </w:r>
    </w:p>
    <w:p>
      <w:pPr>
        <w:pStyle w:val="ListParagraph"/>
        <w:numPr>
          <w:ilvl w:val="0"/>
          <w:numId w:val="2"/>
        </w:numPr>
        <w:spacing w:after="60" w:line="280"/>
      </w:pPr>
      <w:r>
        <w:rPr>
          <w:rFonts w:ascii="Arial" w:cs="Arial" w:eastAsia="Arial" w:hAnsi="Arial"/>
          <w:sz w:val="22"/>
          <w:szCs w:val="22"/>
        </w:rPr>
        <w:t xml:space="preserve">Principal Care Management (Principal Care Management, 99424–99427)</w:t>
      </w:r>
    </w:p>
    <w:p>
      <w:pPr>
        <w:pStyle w:val="ListParagraph"/>
        <w:numPr>
          <w:ilvl w:val="0"/>
          <w:numId w:val="2"/>
        </w:numPr>
        <w:spacing w:after="60" w:line="280"/>
      </w:pPr>
      <w:r>
        <w:rPr>
          <w:rFonts w:ascii="Arial" w:cs="Arial" w:eastAsia="Arial" w:hAnsi="Arial"/>
          <w:sz w:val="22"/>
          <w:szCs w:val="22"/>
        </w:rPr>
        <w:t xml:space="preserve">Transitional Care Management (99495, 99496)</w:t>
      </w:r>
    </w:p>
    <w:p>
      <w:pPr>
        <w:pStyle w:val="ListParagraph"/>
        <w:numPr>
          <w:ilvl w:val="0"/>
          <w:numId w:val="2"/>
        </w:numPr>
        <w:spacing w:after="60" w:line="280"/>
      </w:pPr>
      <w:r>
        <w:rPr>
          <w:rFonts w:ascii="Arial" w:cs="Arial" w:eastAsia="Arial" w:hAnsi="Arial"/>
          <w:sz w:val="22"/>
          <w:szCs w:val="22"/>
        </w:rPr>
        <w:t xml:space="preserve">Interprofessional consultation codes</w:t>
      </w:r>
    </w:p>
    <w:p>
      <w:pPr>
        <w:pStyle w:val="ListParagraph"/>
        <w:numPr>
          <w:ilvl w:val="0"/>
          <w:numId w:val="2"/>
        </w:numPr>
        <w:spacing w:after="60" w:line="280"/>
      </w:pPr>
      <w:r>
        <w:rPr>
          <w:rFonts w:ascii="Arial" w:cs="Arial" w:eastAsia="Arial" w:hAnsi="Arial"/>
          <w:sz w:val="22"/>
          <w:szCs w:val="22"/>
        </w:rPr>
        <w:t xml:space="preserve">Virtual check-ins, e-visits, remote evaluation of pre-recorded patient information</w:t>
      </w:r>
    </w:p>
    <w:p>
      <w:pPr>
        <w:pStyle w:val="ListParagraph"/>
        <w:numPr>
          <w:ilvl w:val="0"/>
          <w:numId w:val="2"/>
        </w:numPr>
        <w:spacing w:after="60" w:line="280"/>
      </w:pPr>
      <w:r>
        <w:rPr>
          <w:rFonts w:ascii="Arial" w:cs="Arial" w:eastAsia="Arial" w:hAnsi="Arial"/>
          <w:sz w:val="22"/>
          <w:szCs w:val="22"/>
        </w:rPr>
        <w:t xml:space="preserve">Online digital evaluation and management</w:t>
      </w:r>
    </w:p>
    <w:p>
      <w:pPr>
        <w:spacing w:after="80" w:before="180"/>
      </w:pPr>
      <w:r>
        <w:rPr>
          <w:rFonts w:ascii="Arial" w:cs="Arial" w:eastAsia="Arial" w:hAnsi="Arial"/>
          <w:b/>
          <w:bCs/>
          <w:color w:val="1A1A1A"/>
          <w:sz w:val="23"/>
          <w:szCs w:val="23"/>
        </w:rPr>
        <w:t xml:space="preserve">Can be billed concurrently</w:t>
      </w:r>
    </w:p>
    <w:p>
      <w:pPr>
        <w:pStyle w:val="ListParagraph"/>
        <w:numPr>
          <w:ilvl w:val="0"/>
          <w:numId w:val="2"/>
        </w:numPr>
        <w:spacing w:after="60" w:line="280"/>
      </w:pPr>
      <w:r>
        <w:rPr>
          <w:rFonts w:ascii="Arial" w:cs="Arial" w:eastAsia="Arial" w:hAnsi="Arial"/>
          <w:sz w:val="22"/>
          <w:szCs w:val="22"/>
        </w:rPr>
        <w:t xml:space="preserve">Remote Physiologic Monitoring (Remote Physiologic Monitoring) — stacks revenue to roughly $170–$260+ per member per month for high-complexity patients.</w:t>
      </w:r>
    </w:p>
    <w:p>
      <w:pPr>
        <w:pStyle w:val="ListParagraph"/>
        <w:numPr>
          <w:ilvl w:val="0"/>
          <w:numId w:val="2"/>
        </w:numPr>
        <w:spacing w:after="60" w:line="280"/>
      </w:pPr>
      <w:r>
        <w:rPr>
          <w:rFonts w:ascii="Arial" w:cs="Arial" w:eastAsia="Arial" w:hAnsi="Arial"/>
          <w:sz w:val="22"/>
          <w:szCs w:val="22"/>
        </w:rPr>
        <w:t xml:space="preserve">Remote Therapeutic Monitoring (Remote Therapeutic Monitoring).</w:t>
      </w:r>
    </w:p>
    <w:p>
      <w:pPr>
        <w:pStyle w:val="ListParagraph"/>
        <w:numPr>
          <w:ilvl w:val="0"/>
          <w:numId w:val="2"/>
        </w:numPr>
        <w:spacing w:after="60" w:line="280"/>
      </w:pPr>
      <w:r>
        <w:rPr>
          <w:rFonts w:ascii="Arial" w:cs="Arial" w:eastAsia="Arial" w:hAnsi="Arial"/>
          <w:sz w:val="22"/>
          <w:szCs w:val="22"/>
        </w:rPr>
        <w:t xml:space="preserve">behavioral health integration / Collaborative Care Model under the new 2026 Advanced Primary Care Management-specific add-on codes G0568, G0569, G0570.</w:t>
      </w:r>
    </w:p>
    <w:p>
      <w:pPr>
        <w:pStyle w:val="ListParagraph"/>
        <w:numPr>
          <w:ilvl w:val="0"/>
          <w:numId w:val="2"/>
        </w:numPr>
        <w:spacing w:after="60" w:line="280"/>
      </w:pPr>
      <w:r>
        <w:rPr>
          <w:rFonts w:ascii="Arial" w:cs="Arial" w:eastAsia="Arial" w:hAnsi="Arial"/>
          <w:sz w:val="22"/>
          <w:szCs w:val="22"/>
        </w:rPr>
        <w:t xml:space="preserve">Annual Wellness Visit and standard evaluation and management visits.</w:t>
      </w:r>
    </w:p>
    <w:p>
      <w:pPr>
        <w:pStyle w:val="Heading1"/>
        <w:spacing w:after="160" w:before="320"/>
      </w:pPr>
      <w:r>
        <w:rPr>
          <w:rFonts w:ascii="Arial" w:cs="Arial" w:eastAsia="Arial" w:hAnsi="Arial"/>
          <w:b/>
          <w:bCs/>
          <w:color w:val="0B3B5C"/>
          <w:sz w:val="32"/>
          <w:szCs w:val="32"/>
        </w:rPr>
        <w:t xml:space="preserve">5. Why Advanced Primary Care Management Enables the 500+ Panel</w:t>
      </w:r>
    </w:p>
    <w:p>
      <w:pPr>
        <w:spacing w:after="120" w:line="300"/>
      </w:pPr>
      <w:r>
        <w:rPr>
          <w:rFonts w:ascii="Arial" w:cs="Arial" w:eastAsia="Arial" w:hAnsi="Arial"/>
          <w:sz w:val="22"/>
          <w:szCs w:val="22"/>
        </w:rPr>
        <w:t xml:space="preserve">This is the core operational thesis for the Foresight interview. The reason a Chronic Care Management nurse caps at three hundred is not capability — it is the structure of the code. The twenty-minute contemporaneous documentation requirement forces three things at once: an irreducible per-patient time floor, an audit trail that is best generated synchronously, and a payment cliff if the threshold is missed. Advanced Primary Care Management dissolves all three:</w:t>
      </w:r>
    </w:p>
    <w:p>
      <w:pPr>
        <w:pStyle w:val="ListParagraph"/>
        <w:numPr>
          <w:ilvl w:val="0"/>
          <w:numId w:val="2"/>
        </w:numPr>
        <w:spacing w:after="60" w:line="280"/>
      </w:pPr>
      <w:r>
        <w:rPr>
          <w:rFonts w:ascii="Arial" w:cs="Arial" w:eastAsia="Arial" w:hAnsi="Arial"/>
          <w:sz w:val="22"/>
          <w:szCs w:val="22"/>
        </w:rPr>
        <w:t xml:space="preserve">No time minimum means staff effort flows where impact is highest. A stable Level 1 patient can be managed via automated portal nudges, an annual wellness call, and a quarterly care plan touchpoint. The registered nurse’s clinical hours go to Level 2 and Level 3 patients who need them.</w:t>
      </w:r>
    </w:p>
    <w:p>
      <w:pPr>
        <w:pStyle w:val="ListParagraph"/>
        <w:numPr>
          <w:ilvl w:val="0"/>
          <w:numId w:val="2"/>
        </w:numPr>
        <w:spacing w:after="60" w:line="280"/>
      </w:pPr>
      <w:r>
        <w:rPr>
          <w:rFonts w:ascii="Arial" w:cs="Arial" w:eastAsia="Arial" w:hAnsi="Arial"/>
          <w:sz w:val="22"/>
          <w:szCs w:val="22"/>
        </w:rPr>
        <w:t xml:space="preserve">Risk-tiered delivery is baked into the code structure. G0556 patients are well-suited to digital-first and asynchronous tooling. G0558 patients warrant hands-on care. The Healthcare Common Procedure Coding System layer itself segments the panel for you.</w:t>
      </w:r>
    </w:p>
    <w:p>
      <w:pPr>
        <w:pStyle w:val="ListParagraph"/>
        <w:numPr>
          <w:ilvl w:val="0"/>
          <w:numId w:val="2"/>
        </w:numPr>
        <w:spacing w:after="60" w:line="280"/>
      </w:pPr>
      <w:r>
        <w:rPr>
          <w:rFonts w:ascii="Arial" w:cs="Arial" w:eastAsia="Arial" w:hAnsi="Arial"/>
          <w:sz w:val="22"/>
          <w:szCs w:val="22"/>
        </w:rPr>
        <w:t xml:space="preserve">Population-level management is an explicit service element, not an inference from per-patient minutes. Registries, gap-closure dashboards, and outreach campaigns satisfy the requirement at scale rather than one beneficiary at a time.</w:t>
      </w:r>
    </w:p>
    <w:p>
      <w:pPr>
        <w:pStyle w:val="ListParagraph"/>
        <w:numPr>
          <w:ilvl w:val="0"/>
          <w:numId w:val="2"/>
        </w:numPr>
        <w:spacing w:after="60" w:line="280"/>
      </w:pPr>
      <w:r>
        <w:rPr>
          <w:rFonts w:ascii="Arial" w:cs="Arial" w:eastAsia="Arial" w:hAnsi="Arial"/>
          <w:sz w:val="22"/>
          <w:szCs w:val="22"/>
        </w:rPr>
        <w:t xml:space="preserve">Asynchronous and automated communication count toward “enhanced communication.” A well-designed artificial intelligence agent or rules-based outreach engine substitutes for marginal registered nurse minutes. text messaging, interactive voice response, portal, secure messaging all qualify.</w:t>
      </w:r>
    </w:p>
    <w:p>
      <w:pPr>
        <w:pStyle w:val="ListParagraph"/>
        <w:numPr>
          <w:ilvl w:val="0"/>
          <w:numId w:val="2"/>
        </w:numPr>
        <w:spacing w:after="60" w:line="280"/>
      </w:pPr>
      <w:r>
        <w:rPr>
          <w:rFonts w:ascii="Arial" w:cs="Arial" w:eastAsia="Arial" w:hAnsi="Arial"/>
          <w:sz w:val="22"/>
          <w:szCs w:val="22"/>
        </w:rPr>
        <w:t xml:space="preserve">General supervision (not direct) remains the standard. Distributed and remote care teams are explicitly permitted. The supervising practitioner does not need to be physically present; supervision can be by phone or telehealth.</w:t>
      </w:r>
    </w:p>
    <w:p>
      <w:pPr>
        <w:spacing w:after="120" w:line="300"/>
      </w:pPr>
      <w:r>
        <w:rPr>
          <w:rFonts w:ascii="Arial" w:cs="Arial" w:eastAsia="Arial" w:hAnsi="Arial"/>
          <w:sz w:val="22"/>
          <w:szCs w:val="22"/>
        </w:rPr>
        <w:t xml:space="preserve">The math at five hundred patients on G0557 alone: 500 × $48.84 = $24,420 per month, roughly $293,000 per year per practice from that single code. The per-patient per member per month is lower than 99490 stacked with 99439, but the panel-size unlock more than compensates, and the elimination of minute-tracking overhead drops the variable cost per touch.</w:t>
      </w:r>
    </w:p>
    <w:p>
      <w:pPr>
        <w:spacing w:after="80" w:before="180"/>
      </w:pPr>
      <w:r>
        <w:rPr>
          <w:rFonts w:ascii="Arial" w:cs="Arial" w:eastAsia="Arial" w:hAnsi="Arial"/>
          <w:b/>
          <w:bCs/>
          <w:color w:val="1A1A1A"/>
          <w:sz w:val="23"/>
          <w:szCs w:val="23"/>
        </w:rPr>
        <w:t xml:space="preserve">Side-by-side: where Advanced Primary Care Management differs from Chronic Care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Dimension</w:t>
            </w:r>
          </w:p>
        </w:tc>
        <w:tc>
          <w:tcPr>
            <w:tcW w:type="dxa" w:w="312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Chronic Care Management (99490 family)</w:t>
            </w:r>
          </w:p>
        </w:tc>
        <w:tc>
          <w:tcPr>
            <w:tcW w:type="dxa" w:w="312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Advanced Primary Care Management (G0556–G0558)</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Time requirement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20+ min documented, contemporaneous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NONE — service-element attestation</w:t>
            </w:r>
          </w:p>
        </w:tc>
      </w:tr>
      <w:tr>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Patient stratification</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Implicit (complex vs non-complex)</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Explicit (3 levels by complexity + Qualified Medicare Beneficiary)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Per-month revenue (Level 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$60–$140 per member per month stacked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$48.84 per member per month single bill</w:t>
            </w:r>
          </w:p>
        </w:tc>
      </w:tr>
      <w:tr>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Concurrent with Chronic Care Management/Principal Care Management/Transitional Care Management?</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(mutually exclusive)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Concurrent with Remote Physiologic Monitoring / Remote Therapeutic Monitoring / behavioral health integration?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Practice accountable care organization requirement</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None</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 (the Medicare Shared Savings Program, the Realizing Equity, Access, and Community Health model, Making Care Primary, or Primary Care First)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Population mgmt requirement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Practical, not regulatory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Explicit service element</w:t>
            </w:r>
          </w:p>
        </w:tc>
      </w:tr>
      <w:tr>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Practical panel ceiling per full-time equivalent</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~300 (manual), ~500 (tech-enabled)</w:t>
            </w:r>
          </w:p>
        </w:tc>
        <w:tc>
          <w:tcPr>
            <w:tcW w:type="dxa" w:w="312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500+ (with software leverage)</w:t>
            </w:r>
          </w:p>
        </w:tc>
      </w:tr>
    </w:tbl>
    <w:p>
      <w:pPr>
        <w:pBdr>
          <w:left w:val="single" w:color="0B3B5C" w:sz="18" w:space="12"/>
        </w:pBdr>
        <w:spacing w:after="160" w:before="160" w:line="300"/>
        <w:ind w:left="540" w:right="540"/>
      </w:pPr>
      <w:r>
        <w:rPr>
          <w:rFonts w:ascii="Arial" w:cs="Arial" w:eastAsia="Arial" w:hAnsi="Arial"/>
          <w:i/>
          <w:iCs/>
          <w:color w:val="333333"/>
          <w:sz w:val="22"/>
          <w:szCs w:val="22"/>
        </w:rPr>
        <w:t xml:space="preserve">“Our workflows are built with the Centers for Medicare and Medicaid Services guardrails to ensure Advanced Primary Care Management/Chronic Care Management/Remote Therapeutic Monitoring billing compliance.”</w:t>
      </w:r>
      <w:r>
        <w:rPr>
          <w:rFonts w:ascii="Arial" w:cs="Arial" w:eastAsia="Arial" w:hAnsi="Arial"/>
          <w:color w:val="666666"/>
          <w:sz w:val="20"/>
          <w:szCs w:val="20"/>
        </w:rPr>
        <w:t xml:space="preserve">  — CircleLink Health, public marketing — vendor consensus that Advanced Primary Care Management is the direction the market is moving</w:t>
      </w:r>
    </w:p>
    <w:p>
      <w:pPr>
        <w:pStyle w:val="Heading1"/>
        <w:spacing w:after="160" w:before="320"/>
      </w:pPr>
      <w:r>
        <w:rPr>
          <w:rFonts w:ascii="Arial" w:cs="Arial" w:eastAsia="Arial" w:hAnsi="Arial"/>
          <w:b/>
          <w:bCs/>
          <w:color w:val="0B3B5C"/>
          <w:sz w:val="32"/>
          <w:szCs w:val="32"/>
        </w:rPr>
        <w:t xml:space="preserve">6. What Advanced Primary Care Management Asks of the Technology Layer</w:t>
      </w:r>
    </w:p>
    <w:p>
      <w:pPr>
        <w:spacing w:after="120" w:line="300"/>
      </w:pPr>
      <w:r>
        <w:rPr>
          <w:rFonts w:ascii="Arial" w:cs="Arial" w:eastAsia="Arial" w:hAnsi="Arial"/>
          <w:sz w:val="22"/>
          <w:szCs w:val="22"/>
        </w:rPr>
        <w:t xml:space="preserve">If Advanced Primary Care Management is the regulatory shape, the question becomes: what does an operating system for an Advanced Primary Care Management-native practice need to do that a Chronic Care Management platform did not? Seven primitives stand out:</w:t>
      </w:r>
    </w:p>
    <w:p>
      <w:pPr>
        <w:pStyle w:val="ListParagraph"/>
        <w:numPr>
          <w:ilvl w:val="0"/>
          <w:numId w:val="2"/>
        </w:numPr>
        <w:spacing w:after="60" w:line="280"/>
      </w:pPr>
      <w:r>
        <w:rPr>
          <w:rFonts w:ascii="Arial" w:cs="Arial" w:eastAsia="Arial" w:hAnsi="Arial"/>
          <w:sz w:val="22"/>
          <w:szCs w:val="22"/>
        </w:rPr>
        <w:t xml:space="preserve">Patient-level tier assignment engine. Claims-based or chart-based logic that assigns each beneficiary to G0556, G0557, or G0558, with monthly re-stratification when a condition list changes or Qualified Medicare Beneficiary status flips.</w:t>
      </w:r>
    </w:p>
    <w:p>
      <w:pPr>
        <w:pStyle w:val="ListParagraph"/>
        <w:numPr>
          <w:ilvl w:val="0"/>
          <w:numId w:val="2"/>
        </w:numPr>
        <w:spacing w:after="60" w:line="280"/>
      </w:pPr>
      <w:r>
        <w:rPr>
          <w:rFonts w:ascii="Arial" w:cs="Arial" w:eastAsia="Arial" w:hAnsi="Arial"/>
          <w:sz w:val="22"/>
          <w:szCs w:val="22"/>
        </w:rPr>
        <w:t xml:space="preserve">Service-element audit trail (not minutes). For each beneficiary-month, attestation and log entries proving which of the eleven elements were available and which were delivered. Documentation artifacts: care plan version, consent record, transition follow-up note, portal message logs.</w:t>
      </w:r>
    </w:p>
    <w:p>
      <w:pPr>
        <w:pStyle w:val="ListParagraph"/>
        <w:numPr>
          <w:ilvl w:val="0"/>
          <w:numId w:val="2"/>
        </w:numPr>
        <w:spacing w:after="60" w:line="280"/>
      </w:pPr>
      <w:r>
        <w:rPr>
          <w:rFonts w:ascii="Arial" w:cs="Arial" w:eastAsia="Arial" w:hAnsi="Arial"/>
          <w:sz w:val="22"/>
          <w:szCs w:val="22"/>
        </w:rPr>
        <w:t xml:space="preserve">Outreach automation layer. text messaging, interactive voice response, portal, asynchronous secure messaging — built to count as “enhanced communication” and “comprehensive care management,” with content templates that pass the population-management bar.</w:t>
      </w:r>
    </w:p>
    <w:p>
      <w:pPr>
        <w:pStyle w:val="ListParagraph"/>
        <w:numPr>
          <w:ilvl w:val="0"/>
          <w:numId w:val="2"/>
        </w:numPr>
        <w:spacing w:after="60" w:line="280"/>
      </w:pPr>
      <w:r>
        <w:rPr>
          <w:rFonts w:ascii="Arial" w:cs="Arial" w:eastAsia="Arial" w:hAnsi="Arial"/>
          <w:sz w:val="22"/>
          <w:szCs w:val="22"/>
        </w:rPr>
        <w:t xml:space="preserve">Population analytics and registry dashboard. Gap-closure (Annual Wellness Visit, screenings, immunizations, A1c), risk-stratification view, panel-level KPIs aligned to the Merit-based Incentive Payment System Value in Primary Care Merit-based Incentive Payment System Value Pathway or accountable care organization quality measures.</w:t>
      </w:r>
    </w:p>
    <w:p>
      <w:pPr>
        <w:pStyle w:val="ListParagraph"/>
        <w:numPr>
          <w:ilvl w:val="0"/>
          <w:numId w:val="2"/>
        </w:numPr>
        <w:spacing w:after="60" w:line="280"/>
      </w:pPr>
      <w:r>
        <w:rPr>
          <w:rFonts w:ascii="Arial" w:cs="Arial" w:eastAsia="Arial" w:hAnsi="Arial"/>
          <w:sz w:val="22"/>
          <w:szCs w:val="22"/>
        </w:rPr>
        <w:t xml:space="preserve">Care transitions workflow. admission, discharge, and transfer feed integration. emergency department and inpatient discharge worklists with seven-day clinical info exchange tracking.</w:t>
      </w:r>
    </w:p>
    <w:p>
      <w:pPr>
        <w:pStyle w:val="ListParagraph"/>
        <w:numPr>
          <w:ilvl w:val="0"/>
          <w:numId w:val="2"/>
        </w:numPr>
        <w:spacing w:after="60" w:line="280"/>
      </w:pPr>
      <w:r>
        <w:rPr>
          <w:rFonts w:ascii="Arial" w:cs="Arial" w:eastAsia="Arial" w:hAnsi="Arial"/>
          <w:sz w:val="22"/>
          <w:szCs w:val="22"/>
        </w:rPr>
        <w:t xml:space="preserve">Designated-practitioner attribution and consent registry. Single source of truth that prevents double-billing, manages re-attribution when patients switch primary care providers, and stores the one-time consent record.</w:t>
      </w:r>
    </w:p>
    <w:p>
      <w:pPr>
        <w:pStyle w:val="ListParagraph"/>
        <w:numPr>
          <w:ilvl w:val="0"/>
          <w:numId w:val="2"/>
        </w:numPr>
        <w:spacing w:after="60" w:line="280"/>
      </w:pPr>
      <w:r>
        <w:rPr>
          <w:rFonts w:ascii="Arial" w:cs="Arial" w:eastAsia="Arial" w:hAnsi="Arial"/>
          <w:sz w:val="22"/>
          <w:szCs w:val="22"/>
        </w:rPr>
        <w:t xml:space="preserve">Concurrent billing guardrails. Automated checks preventing Advanced Primary Care Management + Chronic Care Management/Principal Care Management/Transitional Care Management in the same month while permitting Advanced Primary Care Management + Remote Physiologic Monitoring/Remote Therapeutic Monitoring/behavioral health integration add-ons.</w:t>
      </w:r>
    </w:p>
    <w:p>
      <w:pPr>
        <w:pStyle w:val="Heading1"/>
        <w:spacing w:after="160" w:before="320"/>
      </w:pPr>
      <w:r>
        <w:rPr>
          <w:rFonts w:ascii="Arial" w:cs="Arial" w:eastAsia="Arial" w:hAnsi="Arial"/>
          <w:b/>
          <w:bCs/>
          <w:color w:val="0B3B5C"/>
          <w:sz w:val="32"/>
          <w:szCs w:val="32"/>
        </w:rPr>
        <w:t xml:space="preserve">7. Market State (2025–2026)</w:t>
      </w:r>
    </w:p>
    <w:p>
      <w:pPr>
        <w:spacing w:after="120" w:line="300"/>
      </w:pPr>
      <w:r>
        <w:rPr>
          <w:rFonts w:ascii="Arial" w:cs="Arial" w:eastAsia="Arial" w:hAnsi="Arial"/>
          <w:sz w:val="22"/>
          <w:szCs w:val="22"/>
        </w:rPr>
        <w:t xml:space="preserve">Public the Centers for Medicare and Medicaid Services adoption data is not yet published in detail. Secondary commentary from Healtharc, ChartSpan, Nsight, Prevounce, and others indicates strong interest among accountable care organizations and primary care groups, with federally qualified health centers and rural health clinics adopting more slowly due to workflow re-engineering needs. The vendors actively positioning around Advanced Primary Care Management enablement include Pearl Health (whose Signal Action Framework is explicitly Advanced Primary Care Management-aligned), Aledade (the Medicare Shared Savings Program-focused, with published policy commentary on the 2025 Physician Fee Schedule proposed rule), Privia Health, and Agilon Health. Care-management software incumbents — ChartSpan, Prevounce, ThoroughCare, Nsight, HealthSnap, Healtharc, TimeDoc — are retrofitting Advanced Primary Care Management workflows onto product surfaces designed for Chronic Care Management. None is operating natively as an artificial intelligence-first, provider-not-vendor model.</w:t>
      </w:r>
    </w:p>
    <w:p>
      <w:pPr>
        <w:spacing w:after="120" w:line="300"/>
      </w:pPr>
      <w:r>
        <w:rPr>
          <w:rFonts w:ascii="Arial" w:cs="Arial" w:eastAsia="Arial" w:hAnsi="Arial"/>
          <w:sz w:val="22"/>
          <w:szCs w:val="22"/>
        </w:rPr>
        <w:t xml:space="preserve">The 2026 Physician Fee Schedule finalized G0568, G0569, and G0570 (behavioral health integration/Collaborative Care Model add-ons), allowing total Advanced Primary Care Management-anchored revenue to reach roughly $263 per member per month for high-complexity patients combining Level 3 + Collaborative Care Model + Remote Physiologic Monitoring. That stack is what economic projections assume when claiming Advanced Primary Care Management-based care models can be profitable at panel sizes below the Chronic Care Management-era break-even.</w:t>
      </w:r>
    </w:p>
    <w:p>
      <w:pPr>
        <w:spacing w:after="80" w:before="180"/>
      </w:pPr>
      <w:r>
        <w:rPr>
          <w:rFonts w:ascii="Arial" w:cs="Arial" w:eastAsia="Arial" w:hAnsi="Arial"/>
          <w:b/>
          <w:bCs/>
          <w:color w:val="1A1A1A"/>
          <w:sz w:val="23"/>
          <w:szCs w:val="23"/>
        </w:rPr>
        <w:t xml:space="preserve">Voice of the nurse on Advanced Primary Care Management specifically</w:t>
      </w:r>
    </w:p>
    <w:p>
      <w:pPr>
        <w:spacing w:after="120" w:line="300"/>
      </w:pPr>
      <w:r>
        <w:rPr>
          <w:rFonts w:ascii="Arial" w:cs="Arial" w:eastAsia="Arial" w:hAnsi="Arial"/>
          <w:sz w:val="22"/>
          <w:szCs w:val="22"/>
        </w:rPr>
        <w:t xml:space="preserve">There is essentially no public nurse-voice content yet about G0556/G0557/G0558 by code name. The vendor and billing-firm sources (Prevounce, Medsien, the American Academy of Family Physicians, the National Association of Community Health Centers) drive the discourse. This tells you something useful: most front-line nurses do not yet know Advanced Primary Care Management by code. They know it as “the new monthly thing” or as their employer’s branded program. If you talk to a nurse, do not open with code numbers; open with “is your shop billing the new monthly per-patient code instead of the 20-minute one?” and let them tell you whether their employer has transitioned.</w:t>
      </w:r>
    </w:p>
    <w:p>
      <w:pPr>
        <w:pStyle w:val="Heading1"/>
        <w:spacing w:after="160" w:before="320"/>
      </w:pPr>
      <w:r>
        <w:rPr>
          <w:rFonts w:ascii="Arial" w:cs="Arial" w:eastAsia="Arial" w:hAnsi="Arial"/>
          <w:b/>
          <w:bCs/>
          <w:color w:val="0B3B5C"/>
          <w:sz w:val="32"/>
          <w:szCs w:val="32"/>
        </w:rPr>
        <w:t xml:space="preserve">8. Foresight Health: The Strategic Fit</w:t>
      </w:r>
    </w:p>
    <w:p>
      <w:pPr>
        <w:spacing w:after="120" w:line="300"/>
      </w:pPr>
      <w:r>
        <w:rPr>
          <w:rFonts w:ascii="Arial" w:cs="Arial" w:eastAsia="Arial" w:hAnsi="Arial"/>
          <w:sz w:val="22"/>
          <w:szCs w:val="22"/>
        </w:rPr>
        <w:t xml:space="preserve">Tienlan’s interview prompt — “Advanced Primary Care Management is essentially Chronic Care Management without the time-based billing requirements; how would you architect the system so each nurse can supervise 500+ patients?” — maps cleanly onto Foresight’s public positioning. Foresight is an artificial intelligence-native provider, not a vendor. Their flagship Emi agent is built to handle outreach, documentation, coordination, and time tracking. The Chronic Care Management ceiling is a structural constraint of the code; Advanced Primary Care Management removes that constraint at the regulatory level; Emi removes the same constraint at the workflow level. The two unlocks compound.</w:t>
      </w:r>
    </w:p>
    <w:p>
      <w:pPr>
        <w:spacing w:after="120" w:line="300"/>
      </w:pPr>
      <w:r>
        <w:rPr>
          <w:rFonts w:ascii="Arial" w:cs="Arial" w:eastAsia="Arial" w:hAnsi="Arial"/>
          <w:sz w:val="22"/>
          <w:szCs w:val="22"/>
        </w:rPr>
        <w:t xml:space="preserve">The clearest argument to walk in with: the bottleneck is not nurse capacity. It is the twenty-plus minutes of non-clinical overhead bolted onto every billable hour — time tracking, contemporaneous documentation, retries on unreachables, audit prep. Advanced Primary Care Management removes the minute-tracking. artificial intelligence agents like Emi remove the documentation and outreach load. Together they break the three-hundred-patient ceiling, and Foresight’s bet is that being the provider rather than the vendor lets the entire workflow be redesigned end-to-end, not retrofitted onto a 1990s practice.</w:t>
      </w:r>
    </w:p>
    <w:p>
      <w:pPr>
        <w:pStyle w:val="Heading1"/>
        <w:spacing w:after="160" w:before="320"/>
      </w:pPr>
      <w:r>
        <w:rPr>
          <w:rFonts w:ascii="Arial" w:cs="Arial" w:eastAsia="Arial" w:hAnsi="Arial"/>
          <w:b/>
          <w:bCs/>
          <w:color w:val="0B3B5C"/>
          <w:sz w:val="32"/>
          <w:szCs w:val="32"/>
        </w:rPr>
        <w:t xml:space="preserve">9. Open Questions and Risks Worth Flagging in the Interview</w:t>
      </w:r>
    </w:p>
    <w:p>
      <w:pPr>
        <w:pStyle w:val="ListParagraph"/>
        <w:numPr>
          <w:ilvl w:val="0"/>
          <w:numId w:val="2"/>
        </w:numPr>
        <w:spacing w:after="60" w:line="280"/>
      </w:pPr>
      <w:r>
        <w:rPr>
          <w:rFonts w:ascii="Arial" w:cs="Arial" w:eastAsia="Arial" w:hAnsi="Arial"/>
          <w:sz w:val="22"/>
          <w:szCs w:val="22"/>
        </w:rPr>
        <w:t xml:space="preserve">Adoption gating. Advanced Primary Care Management is currently limited to practitioners participating in the Medicare Shared Savings Program accountable care organization, the Realizing Equity, Access, and Community Health model accountable care organization, Making Care Primary, or Primary Care First. the Centers for Medicare and Medicaid Services has signaled this will expand. Worth confirming Foresight’s accountable care organization participation.</w:t>
      </w:r>
    </w:p>
    <w:p>
      <w:pPr>
        <w:pStyle w:val="ListParagraph"/>
        <w:numPr>
          <w:ilvl w:val="0"/>
          <w:numId w:val="2"/>
        </w:numPr>
        <w:spacing w:after="60" w:line="280"/>
      </w:pPr>
      <w:r>
        <w:rPr>
          <w:rFonts w:ascii="Arial" w:cs="Arial" w:eastAsia="Arial" w:hAnsi="Arial"/>
          <w:sz w:val="22"/>
          <w:szCs w:val="22"/>
        </w:rPr>
        <w:t xml:space="preserve">Patient-side cost share. The twenty percent Part B coinsurance on G0556 and G0557 creates the same fee-driven attrition risk that hampered Chronic Care Management uptake. Mathematica’s 2019 study showed roughly half of patients with supplemental insurance would not have consented to Chronic Care Management out of pocket. The calendar year 2026 Proposed Rule discussion of preventive-service designation may resolve this; until then, design choices need to account for it.</w:t>
      </w:r>
    </w:p>
    <w:p>
      <w:pPr>
        <w:pStyle w:val="ListParagraph"/>
        <w:numPr>
          <w:ilvl w:val="0"/>
          <w:numId w:val="2"/>
        </w:numPr>
        <w:spacing w:after="60" w:line="280"/>
      </w:pPr>
      <w:r>
        <w:rPr>
          <w:rFonts w:ascii="Arial" w:cs="Arial" w:eastAsia="Arial" w:hAnsi="Arial"/>
          <w:sz w:val="22"/>
          <w:szCs w:val="22"/>
        </w:rPr>
        <w:t xml:space="preserve">Audit shape is different but not absent. The shift from minutes to service-element attestation creates a new audit pattern: practices will be asked to demonstrate that the eleven elements were actually available, not just attested. Documentation infrastructure needs to be able to produce the receipts.</w:t>
      </w:r>
    </w:p>
    <w:p>
      <w:pPr>
        <w:pStyle w:val="ListParagraph"/>
        <w:numPr>
          <w:ilvl w:val="0"/>
          <w:numId w:val="2"/>
        </w:numPr>
        <w:spacing w:after="60" w:line="280"/>
      </w:pPr>
      <w:r>
        <w:rPr>
          <w:rFonts w:ascii="Arial" w:cs="Arial" w:eastAsia="Arial" w:hAnsi="Arial"/>
          <w:sz w:val="22"/>
          <w:szCs w:val="22"/>
        </w:rPr>
        <w:t xml:space="preserve">Concurrency rules. Practices need automated guardrails preventing Advanced Primary Care Management and Chronic Care Management/Principal Care Management/Transitional Care Management in the same month per patient. Operationally, the transition month is the trap.</w:t>
      </w:r>
    </w:p>
    <w:p>
      <w:pPr>
        <w:pStyle w:val="ListParagraph"/>
        <w:numPr>
          <w:ilvl w:val="0"/>
          <w:numId w:val="2"/>
        </w:numPr>
        <w:spacing w:after="60" w:line="280"/>
      </w:pPr>
      <w:r>
        <w:rPr>
          <w:rFonts w:ascii="Arial" w:cs="Arial" w:eastAsia="Arial" w:hAnsi="Arial"/>
          <w:sz w:val="22"/>
          <w:szCs w:val="22"/>
        </w:rPr>
        <w:t xml:space="preserve">Cohort transition strategy. Advanced Primary Care Management and Chronic Care Management cannot be billed concurrently for the same patient. Practices must move whole cohorts over, which is a clinical, billing, and communications project — not just a code switch.</w:t>
      </w:r>
    </w:p>
    <w:p>
      <w:pPr>
        <w:pStyle w:val="Heading1"/>
        <w:spacing w:after="160" w:before="320"/>
      </w:pPr>
      <w:r>
        <w:rPr>
          <w:rFonts w:ascii="Arial" w:cs="Arial" w:eastAsia="Arial" w:hAnsi="Arial"/>
          <w:b/>
          <w:bCs/>
          <w:color w:val="0B3B5C"/>
          <w:sz w:val="32"/>
          <w:szCs w:val="32"/>
        </w:rPr>
        <w:t xml:space="preserve">Sources and Further Reading</w:t>
      </w:r>
    </w:p>
    <w:p>
      <w:pPr>
        <w:spacing w:after="120" w:line="300"/>
      </w:pPr>
      <w:r>
        <w:rPr>
          <w:rFonts w:ascii="Arial" w:cs="Arial" w:eastAsia="Arial" w:hAnsi="Arial"/>
          <w:sz w:val="20"/>
          <w:szCs w:val="20"/>
        </w:rPr>
        <w:t xml:space="preserve">the Centers for Medicare and Medicaid Services Advanced Primary Care Management Services page (primary authority): </w:t>
      </w:r>
      <w:hyperlink w:history="1" r:id="rIdfxvmrmjfd6l-cp_ikmu5t">
        <w:r>
          <w:rPr>
            <w:rStyle w:val="Hyperlink"/>
            <w:rFonts w:ascii="Arial" w:cs="Arial" w:eastAsia="Arial" w:hAnsi="Arial"/>
            <w:sz w:val="20"/>
            <w:szCs w:val="20"/>
          </w:rPr>
          <w:t xml:space="preserve">cms.gov/medicare/payment/fee-schedules/physician-fee-schedule/advanced-primary-care-management-services</w:t>
        </w:r>
      </w:hyperlink>
    </w:p>
    <w:p>
      <w:pPr>
        <w:spacing w:after="120" w:line="300"/>
      </w:pPr>
      <w:r>
        <w:rPr>
          <w:rFonts w:ascii="Arial" w:cs="Arial" w:eastAsia="Arial" w:hAnsi="Arial"/>
          <w:sz w:val="20"/>
          <w:szCs w:val="20"/>
        </w:rPr>
        <w:t xml:space="preserve">calendar year 2025 Physician Fee Schedule Final Rule fact sheet: </w:t>
      </w:r>
      <w:hyperlink w:history="1" r:id="rIdi8y4go9zbllwp7o6058px">
        <w:r>
          <w:rPr>
            <w:rStyle w:val="Hyperlink"/>
            <w:rFonts w:ascii="Arial" w:cs="Arial" w:eastAsia="Arial" w:hAnsi="Arial"/>
            <w:sz w:val="20"/>
            <w:szCs w:val="20"/>
          </w:rPr>
          <w:t xml:space="preserve">cms.gov/newsroom/fact-sheets/calendar-year-cy-2025-medicare-physician-fee-schedule-final-rule</w:t>
        </w:r>
      </w:hyperlink>
    </w:p>
    <w:p>
      <w:pPr>
        <w:spacing w:after="120" w:line="300"/>
      </w:pPr>
      <w:r>
        <w:rPr>
          <w:rFonts w:ascii="Arial" w:cs="Arial" w:eastAsia="Arial" w:hAnsi="Arial"/>
          <w:sz w:val="20"/>
          <w:szCs w:val="20"/>
        </w:rPr>
        <w:t xml:space="preserve">calendar year 2026 Physician Fee Schedule Final Rule (CMS-1832-F) fact sheet: </w:t>
      </w:r>
      <w:hyperlink w:history="1" r:id="rIdi9pflxtk1kmknut7jnlsm">
        <w:r>
          <w:rPr>
            <w:rStyle w:val="Hyperlink"/>
            <w:rFonts w:ascii="Arial" w:cs="Arial" w:eastAsia="Arial" w:hAnsi="Arial"/>
            <w:sz w:val="20"/>
            <w:szCs w:val="20"/>
          </w:rPr>
          <w:t xml:space="preserve">cms.gov/newsroom/fact-sheets/calendar-year-cy-2026-medicare-physician-fee-schedule-final-rule-cms-1832-f</w:t>
        </w:r>
      </w:hyperlink>
    </w:p>
    <w:p>
      <w:pPr>
        <w:spacing w:after="120" w:line="300"/>
      </w:pPr>
      <w:r>
        <w:rPr>
          <w:rFonts w:ascii="Arial" w:cs="Arial" w:eastAsia="Arial" w:hAnsi="Arial"/>
          <w:sz w:val="20"/>
          <w:szCs w:val="20"/>
        </w:rPr>
        <w:t xml:space="preserve">the American Academy of Family Physicians — Coding for Advanced Primary Care Management: </w:t>
      </w:r>
      <w:hyperlink w:history="1" r:id="rId95tmy0f2smujcjtn9nid8">
        <w:r>
          <w:rPr>
            <w:rStyle w:val="Hyperlink"/>
            <w:rFonts w:ascii="Arial" w:cs="Arial" w:eastAsia="Arial" w:hAnsi="Arial"/>
            <w:sz w:val="20"/>
            <w:szCs w:val="20"/>
          </w:rPr>
          <w:t xml:space="preserve">aafp.org/family-physician/practice-and-career/getting-paid/coding/advanced-primary-care-management.html</w:t>
        </w:r>
      </w:hyperlink>
    </w:p>
    <w:p>
      <w:pPr>
        <w:spacing w:after="120" w:line="300"/>
      </w:pPr>
      <w:r>
        <w:rPr>
          <w:rFonts w:ascii="Arial" w:cs="Arial" w:eastAsia="Arial" w:hAnsi="Arial"/>
          <w:sz w:val="20"/>
          <w:szCs w:val="20"/>
        </w:rPr>
        <w:t xml:space="preserve">the National Association of Community Health Centers Advanced Primary Care Management Reimbursement Tip Sheet: </w:t>
      </w:r>
      <w:hyperlink w:history="1" r:id="rId747egcekmfoznmo5drpkx">
        <w:r>
          <w:rPr>
            <w:rStyle w:val="Hyperlink"/>
            <w:rFonts w:ascii="Arial" w:cs="Arial" w:eastAsia="Arial" w:hAnsi="Arial"/>
            <w:sz w:val="20"/>
            <w:szCs w:val="20"/>
          </w:rPr>
          <w:t xml:space="preserve">nachc.org/wp-content/uploads/2025/03/Advanced Primary Care Management-Reimbursement-Tip-Sheet.pdf</w:t>
        </w:r>
      </w:hyperlink>
    </w:p>
    <w:p>
      <w:pPr>
        <w:spacing w:after="120" w:line="300"/>
      </w:pPr>
      <w:r>
        <w:rPr>
          <w:rFonts w:ascii="Arial" w:cs="Arial" w:eastAsia="Arial" w:hAnsi="Arial"/>
          <w:sz w:val="20"/>
          <w:szCs w:val="20"/>
        </w:rPr>
        <w:t xml:space="preserve">Prevounce — Advanced Primary Care Management billing codes and requirements: </w:t>
      </w:r>
      <w:hyperlink w:history="1" r:id="rIdyamkghios7piljg3wjroq">
        <w:r>
          <w:rPr>
            <w:rStyle w:val="Hyperlink"/>
            <w:rFonts w:ascii="Arial" w:cs="Arial" w:eastAsia="Arial" w:hAnsi="Arial"/>
            <w:sz w:val="20"/>
            <w:szCs w:val="20"/>
          </w:rPr>
          <w:t xml:space="preserve">blog.prevounce.com/apcm-billing-codes-and-requirements-hcpcs-g0556-g0557-and-g0558</w:t>
        </w:r>
      </w:hyperlink>
    </w:p>
    <w:p>
      <w:pPr>
        <w:spacing w:after="120" w:line="300"/>
      </w:pPr>
      <w:r>
        <w:rPr>
          <w:rFonts w:ascii="Arial" w:cs="Arial" w:eastAsia="Arial" w:hAnsi="Arial"/>
          <w:sz w:val="20"/>
          <w:szCs w:val="20"/>
        </w:rPr>
        <w:t xml:space="preserve">Pearl Health — Advanced Primary Care Management blog: </w:t>
      </w:r>
      <w:hyperlink w:history="1" r:id="rIddkj_3obzfnf3sf4qa-yuf">
        <w:r>
          <w:rPr>
            <w:rStyle w:val="Hyperlink"/>
            <w:rFonts w:ascii="Arial" w:cs="Arial" w:eastAsia="Arial" w:hAnsi="Arial"/>
            <w:sz w:val="20"/>
            <w:szCs w:val="20"/>
          </w:rPr>
          <w:t xml:space="preserve">pearlhealth.com/blog/advanced-primary-care-management</w:t>
        </w:r>
      </w:hyperlink>
    </w:p>
    <w:p>
      <w:pPr>
        <w:spacing w:after="120" w:line="300"/>
      </w:pPr>
      <w:r>
        <w:rPr>
          <w:rFonts w:ascii="Arial" w:cs="Arial" w:eastAsia="Arial" w:hAnsi="Arial"/>
          <w:sz w:val="20"/>
          <w:szCs w:val="20"/>
        </w:rPr>
        <w:t xml:space="preserve">Aledade — 2025 Physician Fee Schedule analysis: </w:t>
      </w:r>
      <w:hyperlink w:history="1" r:id="rId8fdqng4q9nylbqgwqaeko">
        <w:r>
          <w:rPr>
            <w:rStyle w:val="Hyperlink"/>
            <w:rFonts w:ascii="Arial" w:cs="Arial" w:eastAsia="Arial" w:hAnsi="Arial"/>
            <w:sz w:val="20"/>
            <w:szCs w:val="20"/>
          </w:rPr>
          <w:t xml:space="preserve">aledade.com/value-based-care-resources/hot-topics-in-health-care-policy/understanding-the-2025-proposed-physician-fee-schedule-essential-updates-for-primary-care/</w:t>
        </w:r>
      </w:hyperlink>
    </w:p>
    <w:p>
      <w:pPr>
        <w:spacing w:after="120" w:line="300"/>
      </w:pPr>
      <w:r>
        <w:rPr>
          <w:rFonts w:ascii="Arial" w:cs="Arial" w:eastAsia="Arial" w:hAnsi="Arial"/>
          <w:sz w:val="20"/>
          <w:szCs w:val="20"/>
        </w:rPr>
        <w:t xml:space="preserve">Foley &amp; Lardner — New Healthcare Common Procedure Coding System for Advanced Primary Care Management: </w:t>
      </w:r>
      <w:hyperlink w:history="1" r:id="rIdmmrth452kt037zm92hx5d">
        <w:r>
          <w:rPr>
            <w:rStyle w:val="Hyperlink"/>
            <w:rFonts w:ascii="Arial" w:cs="Arial" w:eastAsia="Arial" w:hAnsi="Arial"/>
            <w:sz w:val="20"/>
            <w:szCs w:val="20"/>
          </w:rPr>
          <w:t xml:space="preserve">foley.com/insights/publications/2024/11/new-hcpcs-advanced-primary-care-management/</w:t>
        </w:r>
      </w:hyperlink>
    </w:p>
    <w:p>
      <w:pPr>
        <w:spacing w:after="120" w:line="300"/>
      </w:pPr>
      <w:r>
        <w:rPr>
          <w:rFonts w:ascii="Arial" w:cs="Arial" w:eastAsia="Arial" w:hAnsi="Arial"/>
          <w:sz w:val="20"/>
          <w:szCs w:val="20"/>
        </w:rPr>
        <w:t xml:space="preserve">DLA Piper — calendar year 2026 behavioral health integration/Collaborative Care Model add-ons for Advanced Primary Care Management: </w:t>
      </w:r>
      <w:hyperlink w:history="1" r:id="rIdh1aukegrtufcttap-uprx">
        <w:r>
          <w:rPr>
            <w:rStyle w:val="Hyperlink"/>
            <w:rFonts w:ascii="Arial" w:cs="Arial" w:eastAsia="Arial" w:hAnsi="Arial"/>
            <w:sz w:val="20"/>
            <w:szCs w:val="20"/>
          </w:rPr>
          <w:t xml:space="preserve">dlapiper.com/en/insights/publications/2025/07/cms-proposes-new-behavioral-health-integration-codes</w:t>
        </w:r>
      </w:hyperlink>
    </w:p>
    <w:p>
      <w:pPr>
        <w:spacing w:after="120" w:line="300"/>
      </w:pPr>
      <w:r>
        <w:rPr>
          <w:rFonts w:ascii="Arial" w:cs="Arial" w:eastAsia="Arial" w:hAnsi="Arial"/>
          <w:sz w:val="20"/>
          <w:szCs w:val="20"/>
        </w:rPr>
        <w:t xml:space="preserve">Federal Register — calendar year 2026 Physician Fee Schedule Final Rule: </w:t>
      </w:r>
      <w:hyperlink w:history="1" r:id="rId_kfxoyyfdswawp9bdexnp">
        <w:r>
          <w:rPr>
            <w:rStyle w:val="Hyperlink"/>
            <w:rFonts w:ascii="Arial" w:cs="Arial" w:eastAsia="Arial" w:hAnsi="Arial"/>
            <w:sz w:val="20"/>
            <w:szCs w:val="20"/>
          </w:rPr>
          <w:t xml:space="preserve">federalregister.gov/documents/2025/11/05/2025-19787/</w:t>
        </w:r>
      </w:hyperlink>
    </w:p>
    <w:p>
      <w:pPr>
        <w:spacing w:after="120" w:line="300"/>
      </w:pPr>
      <w:r>
        <w:rPr>
          <w:rFonts w:ascii="Arial" w:cs="Arial" w:eastAsia="Arial" w:hAnsi="Arial"/>
          <w:sz w:val="20"/>
          <w:szCs w:val="20"/>
        </w:rPr>
        <w:t xml:space="preserve">Rural Health Info Hub — Advanced Primary Care Management: </w:t>
      </w:r>
      <w:hyperlink w:history="1" r:id="rIdbnmgysqqwhsdfcmin6a8p">
        <w:r>
          <w:rPr>
            <w:rStyle w:val="Hyperlink"/>
            <w:rFonts w:ascii="Arial" w:cs="Arial" w:eastAsia="Arial" w:hAnsi="Arial"/>
            <w:sz w:val="20"/>
            <w:szCs w:val="20"/>
          </w:rPr>
          <w:t xml:space="preserve">ruralhealthinfo.org/care-management/advanced-primary-care-management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Advanced Primary Care Management Field Briefing | Foresight Health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3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3B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xvmrmjfd6l-cp_ikmu5t" Type="http://schemas.openxmlformats.org/officeDocument/2006/relationships/hyperlink" Target="https://www.cms.gov/medicare/payment/fee-schedules/physician-fee-schedule/advanced-primary-care-management-services" TargetMode="External"/><Relationship Id="rIdi8y4go9zbllwp7o6058px" Type="http://schemas.openxmlformats.org/officeDocument/2006/relationships/hyperlink" Target="https://www.cms.gov/newsroom/fact-sheets/calendar-year-cy-2025-medicare-physician-fee-schedule-final-rule" TargetMode="External"/><Relationship Id="rIdi9pflxtk1kmknut7jnlsm" Type="http://schemas.openxmlformats.org/officeDocument/2006/relationships/hyperlink" Target="https://www.cms.gov/newsroom/fact-sheets/calendar-year-cy-2026-medicare-physician-fee-schedule-final-rule-cms-1832-f" TargetMode="External"/><Relationship Id="rId95tmy0f2smujcjtn9nid8" Type="http://schemas.openxmlformats.org/officeDocument/2006/relationships/hyperlink" Target="https://www.aafp.org/family-physician/practice-and-career/getting-paid/coding/advanced-primary-care-management.html" TargetMode="External"/><Relationship Id="rId747egcekmfoznmo5drpkx" Type="http://schemas.openxmlformats.org/officeDocument/2006/relationships/hyperlink" Target="https://www.nachc.org/wp-content/uploads/2025/03/Advanced Primary Care Management-Reimbursement-Tip-Sheet.pdf" TargetMode="External"/><Relationship Id="rIdyamkghios7piljg3wjroq" Type="http://schemas.openxmlformats.org/officeDocument/2006/relationships/hyperlink" Target="https://blog.prevounce.com/apcm-billing-codes-and-requirements-hcpcs-g0556-g0557-and-g0558" TargetMode="External"/><Relationship Id="rIddkj_3obzfnf3sf4qa-yuf" Type="http://schemas.openxmlformats.org/officeDocument/2006/relationships/hyperlink" Target="https://www.pearlhealth.com/blog/advanced-primary-care-management" TargetMode="External"/><Relationship Id="rId8fdqng4q9nylbqgwqaeko" Type="http://schemas.openxmlformats.org/officeDocument/2006/relationships/hyperlink" Target="https://aledade.com/value-based-care-resources/hot-topics-in-health-care-policy/understanding-the-2025-proposed-physician-fee-schedule-essential-updates-for-primary-care/" TargetMode="External"/><Relationship Id="rIdmmrth452kt037zm92hx5d" Type="http://schemas.openxmlformats.org/officeDocument/2006/relationships/hyperlink" Target="https://www.foley.com/insights/publications/2024/11/new-hcpcs-advanced-primary-care-management/" TargetMode="External"/><Relationship Id="rIdh1aukegrtufcttap-uprx" Type="http://schemas.openxmlformats.org/officeDocument/2006/relationships/hyperlink" Target="https://www.dlapiper.com/en/insights/publications/2025/07/cms-proposes-new-behavioral-health-integration-codes" TargetMode="External"/><Relationship Id="rId_kfxoyyfdswawp9bdexnp" Type="http://schemas.openxmlformats.org/officeDocument/2006/relationships/hyperlink" Target="https://www.federalregister.gov/documents/2025/11/05/2025-19787/medicare-and-medicaid-programs-cy-2026-payment-policies-under-the-physician-fee-schedule-and-other" TargetMode="External"/><Relationship Id="rIdbnmgysqqwhsdfcmin6a8p" Type="http://schemas.openxmlformats.org/officeDocument/2006/relationships/hyperlink" Target="https://www.ruralhealthinfo.org/care-management/advanced-primary-care-management"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2026-05-13T23:14:54.688Z</dcterms:created>
  <dcterms:modified xsi:type="dcterms:W3CDTF">2026-05-13T23:14:54.688Z</dcterms:modified>
</cp:coreProperties>
</file>

<file path=docProps/custom.xml><?xml version="1.0" encoding="utf-8"?>
<Properties xmlns="http://schemas.openxmlformats.org/officeDocument/2006/custom-properties" xmlns:vt="http://schemas.openxmlformats.org/officeDocument/2006/docPropsVTypes"/>
</file>