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2E7D6F"/>
          <w:sz w:val="48"/>
        </w:rPr>
        <w:t>TalkingLands — Competitor Research Brief</w:t>
      </w:r>
    </w:p>
    <w:p>
      <w:r>
        <w:rPr>
          <w:color w:val="5A6A66"/>
          <w:sz w:val="24"/>
        </w:rPr>
        <w:t>Spatial-intelligence proptech teardown · benchmark for SAT Builders View</w:t>
      </w:r>
    </w:p>
    <w:p>
      <w:pPr>
        <w:spacing w:before="160"/>
      </w:pPr>
      <w:r>
        <w:rPr>
          <w:b/>
          <w:color w:val="1C2420"/>
          <w:sz w:val="20"/>
        </w:rPr>
        <w:t xml:space="preserve">Date:  </w:t>
      </w:r>
      <w:r>
        <w:rPr>
          <w:color w:val="5A6A66"/>
          <w:sz w:val="20"/>
        </w:rPr>
        <w:t>2026-06-23</w:t>
        <w:br/>
      </w:r>
      <w:r>
        <w:rPr>
          <w:b/>
          <w:color w:val="1C2420"/>
          <w:sz w:val="20"/>
        </w:rPr>
        <w:t xml:space="preserve">Prepared by:  </w:t>
      </w:r>
      <w:r>
        <w:rPr>
          <w:color w:val="5A6A66"/>
          <w:sz w:val="20"/>
        </w:rPr>
        <w:t>Tanmay C J</w:t>
        <w:br/>
      </w:r>
      <w:r>
        <w:rPr>
          <w:b/>
          <w:color w:val="1C2420"/>
          <w:sz w:val="20"/>
        </w:rPr>
        <w:t xml:space="preserve">Purpose:  </w:t>
      </w:r>
      <w:r>
        <w:rPr>
          <w:color w:val="5A6A66"/>
          <w:sz w:val="20"/>
        </w:rPr>
        <w:t>Understand how TalkingLands works (tech, data, sources, parcel pinpointing)</w:t>
        <w:br/>
      </w:r>
      <w:r>
        <w:rPr>
          <w:b/>
          <w:color w:val="1C2420"/>
          <w:sz w:val="20"/>
        </w:rPr>
        <w:t xml:space="preserve">Status:  </w:t>
      </w:r>
      <w:r>
        <w:rPr>
          <w:color w:val="5A6A66"/>
          <w:sz w:val="20"/>
        </w:rPr>
        <w:t>Research spike — no product code written</w:t>
        <w:br/>
      </w:r>
      <w:r>
        <w:rPr>
          <w:b/>
          <w:color w:val="1C2420"/>
          <w:sz w:val="20"/>
        </w:rPr>
        <w:t xml:space="preserve">Audience:  </w:t>
      </w:r>
      <w:r>
        <w:rPr>
          <w:color w:val="5A6A66"/>
          <w:sz w:val="20"/>
        </w:rPr>
        <w:t>SAT team</w:t>
        <w:br/>
      </w:r>
    </w:p>
    <w:p>
      <w:pPr>
        <w:spacing w:before="320" w:after="80"/>
        <w:pBdr>
          <w:bottom w:val="single" w:sz="6" w:space="2" w:color="2E7D6F"/>
        </w:pBdr>
      </w:pPr>
      <w:r>
        <w:rPr>
          <w:b/>
          <w:color w:val="2E7D6F"/>
          <w:sz w:val="32"/>
        </w:rPr>
        <w:t>1. Executive Summary</w:t>
      </w:r>
    </w:p>
    <w:p>
      <w:pPr>
        <w:spacing w:after="80"/>
      </w:pPr>
      <w:r>
        <w:rPr>
          <w:b w:val="0"/>
          <w:color w:val="1C2420"/>
          <w:sz w:val="21"/>
        </w:rPr>
        <w:t>TalkingLands is a Bengaluru proptech (founded 2021, largely bootstrapped) that has built India's first parcel-level “spatial intelligence” platform for real estate. Its differentiator is not a novel map engine — it is the aggregation, georeferencing, and cleaning of official Indian land-records data (survey numbers, cadastral parcels, CDP/zoning, risk buffers) into a single map-first product.</w:t>
      </w:r>
    </w:p>
    <w:p>
      <w:pPr>
        <w:spacing w:after="80"/>
      </w:pPr>
      <w:r>
        <w:rPr>
          <w:b w:val="0"/>
          <w:color w:val="1C2420"/>
          <w:sz w:val="21"/>
        </w:rPr>
        <w:t>Users type a survey number and get the exact land parcel pinned on the map, wrapped in six categories of contextual layers and an AI-generated property report. Coverage is deepest in Karnataka and expanding to Telangana and Maharashtra. Monetisation is a pay-per-layer “TL Coins” credit model. This is the capability SAT lacks for a Builders audience.</w:t>
      </w:r>
    </w:p>
    <w:p>
      <w:pPr>
        <w:spacing w:before="320" w:after="80"/>
        <w:pBdr>
          <w:bottom w:val="single" w:sz="6" w:space="2" w:color="2E7D6F"/>
        </w:pBdr>
      </w:pPr>
      <w:r>
        <w:rPr>
          <w:b/>
          <w:color w:val="2E7D6F"/>
          <w:sz w:val="32"/>
        </w:rPr>
        <w:t>2. Company Snapshot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E7D6F"/>
          </w:tcPr>
          <w:p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4320"/>
            <w:shd w:val="clear" w:fill="2E7D6F"/>
          </w:tcPr>
          <w:p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color w:val="1C2420"/>
                <w:sz w:val="18"/>
              </w:rPr>
              <w:t>Founded</w:t>
            </w:r>
          </w:p>
        </w:tc>
        <w:tc>
          <w:tcPr>
            <w:tcW w:type="dxa" w:w="4320"/>
          </w:tcPr>
          <w:p>
            <w:r>
              <w:rPr>
                <w:color w:val="1C2420"/>
                <w:sz w:val="18"/>
              </w:rPr>
              <w:t>2021, Bengaluru, Karnataka</w:t>
            </w:r>
          </w:p>
        </w:tc>
      </w:tr>
      <w:tr>
        <w:tc>
          <w:tcPr>
            <w:tcW w:type="dxa" w:w="4320"/>
            <w:shd w:val="clear" w:fill="F4F8F7"/>
          </w:tcPr>
          <w:p>
            <w:r>
              <w:rPr>
                <w:color w:val="1C2420"/>
                <w:sz w:val="18"/>
              </w:rPr>
              <w:t>Founders</w:t>
            </w:r>
          </w:p>
        </w:tc>
        <w:tc>
          <w:tcPr>
            <w:tcW w:type="dxa" w:w="4320"/>
            <w:shd w:val="clear" w:fill="F4F8F7"/>
          </w:tcPr>
          <w:p>
            <w:r>
              <w:rPr>
                <w:color w:val="1C2420"/>
                <w:sz w:val="18"/>
              </w:rPr>
              <w:t>Sriram Chitlur (CEO), Srinath Setty</w:t>
            </w:r>
          </w:p>
        </w:tc>
      </w:tr>
      <w:tr>
        <w:tc>
          <w:tcPr>
            <w:tcW w:type="dxa" w:w="4320"/>
          </w:tcPr>
          <w:p>
            <w:r>
              <w:rPr>
                <w:color w:val="1C2420"/>
                <w:sz w:val="18"/>
              </w:rPr>
              <w:t>Funding</w:t>
            </w:r>
          </w:p>
        </w:tc>
        <w:tc>
          <w:tcPr>
            <w:tcW w:type="dxa" w:w="4320"/>
          </w:tcPr>
          <w:p>
            <w:r>
              <w:rPr>
                <w:color w:val="1C2420"/>
                <w:sz w:val="18"/>
              </w:rPr>
              <w:t>Effectively bootstrapped — Crunchbase shows a single ~$10.9K angel round (Mar 2024); Inc42 lists it as bootstrapped</w:t>
            </w:r>
          </w:p>
        </w:tc>
      </w:tr>
      <w:tr>
        <w:tc>
          <w:tcPr>
            <w:tcW w:type="dxa" w:w="4320"/>
            <w:shd w:val="clear" w:fill="F4F8F7"/>
          </w:tcPr>
          <w:p>
            <w:r>
              <w:rPr>
                <w:color w:val="1C2420"/>
                <w:sz w:val="18"/>
              </w:rPr>
              <w:t>Scale claims</w:t>
            </w:r>
          </w:p>
        </w:tc>
        <w:tc>
          <w:tcPr>
            <w:tcW w:type="dxa" w:w="4320"/>
            <w:shd w:val="clear" w:fill="F4F8F7"/>
          </w:tcPr>
          <w:p>
            <w:r>
              <w:rPr>
                <w:color w:val="1C2420"/>
                <w:sz w:val="18"/>
              </w:rPr>
              <w:t>50,000+ users; ₹5,000 Cr in land decisions influenced; ₹900 Cr properties sold</w:t>
            </w:r>
          </w:p>
        </w:tc>
      </w:tr>
      <w:tr>
        <w:tc>
          <w:tcPr>
            <w:tcW w:type="dxa" w:w="4320"/>
          </w:tcPr>
          <w:p>
            <w:r>
              <w:rPr>
                <w:color w:val="1C2420"/>
                <w:sz w:val="18"/>
              </w:rPr>
              <w:t>Coverage</w:t>
            </w:r>
          </w:p>
        </w:tc>
        <w:tc>
          <w:tcPr>
            <w:tcW w:type="dxa" w:w="4320"/>
          </w:tcPr>
          <w:p>
            <w:r>
              <w:rPr>
                <w:color w:val="1C2420"/>
                <w:sz w:val="18"/>
              </w:rPr>
              <w:t>Deepest: Karnataka (BBMP wards, Greater Bengaluru, CDP). Expanding: Telangana, Maharashtra. “Searchable across India where layer data exists”</w:t>
            </w:r>
          </w:p>
        </w:tc>
      </w:tr>
      <w:tr>
        <w:tc>
          <w:tcPr>
            <w:tcW w:type="dxa" w:w="4320"/>
            <w:shd w:val="clear" w:fill="F4F8F7"/>
          </w:tcPr>
          <w:p>
            <w:r>
              <w:rPr>
                <w:color w:val="1C2420"/>
                <w:sz w:val="18"/>
              </w:rPr>
              <w:t>Govt traction</w:t>
            </w:r>
          </w:p>
        </w:tc>
        <w:tc>
          <w:tcPr>
            <w:tcW w:type="dxa" w:w="4320"/>
            <w:shd w:val="clear" w:fill="F4F8F7"/>
          </w:tcPr>
          <w:p>
            <w:r>
              <w:rPr>
                <w:color w:val="1C2420"/>
                <w:sz w:val="18"/>
              </w:rPr>
              <w:t>Karnataka IT/BT Minister Priyank Kharge engaged them on land-governance use cases</w:t>
            </w:r>
          </w:p>
        </w:tc>
      </w:tr>
      <w:tr>
        <w:tc>
          <w:tcPr>
            <w:tcW w:type="dxa" w:w="4320"/>
          </w:tcPr>
          <w:p>
            <w:r>
              <w:rPr>
                <w:color w:val="1C2420"/>
                <w:sz w:val="18"/>
              </w:rPr>
              <w:t>Partnership</w:t>
            </w:r>
          </w:p>
        </w:tc>
        <w:tc>
          <w:tcPr>
            <w:tcW w:type="dxa" w:w="4320"/>
          </w:tcPr>
          <w:p>
            <w:r>
              <w:rPr>
                <w:color w:val="1C2420"/>
                <w:sz w:val="18"/>
              </w:rPr>
              <w:t>With Datasamudra (Teleindia Datacenter) + Vishanti Systems → “Bhu Drishti” geospatial platform, Bengaluru Tech Summit 2025</w:t>
            </w:r>
          </w:p>
        </w:tc>
      </w:tr>
    </w:tbl>
    <w:p>
      <w:pPr>
        <w:spacing w:after="40"/>
      </w:pPr>
    </w:p>
    <w:p>
      <w:pPr>
        <w:spacing w:before="320" w:after="80"/>
        <w:pBdr>
          <w:bottom w:val="single" w:sz="6" w:space="2" w:color="2E7D6F"/>
        </w:pBdr>
      </w:pPr>
      <w:r>
        <w:rPr>
          <w:b/>
          <w:color w:val="2E7D6F"/>
          <w:sz w:val="32"/>
        </w:rPr>
        <w:t>3. Product Suite</w:t>
      </w:r>
    </w:p>
    <w:p>
      <w:pPr>
        <w:pStyle w:val="ListBullet"/>
        <w:spacing w:after="20"/>
      </w:pPr>
      <w:r>
        <w:rPr>
          <w:color w:val="1C2420"/>
          <w:sz w:val="21"/>
        </w:rPr>
        <w:t>Discover — consumer map-based property search &amp; booking.</w:t>
      </w:r>
    </w:p>
    <w:p>
      <w:pPr>
        <w:pStyle w:val="ListBullet"/>
        <w:spacing w:after="20"/>
      </w:pPr>
      <w:r>
        <w:rPr>
          <w:color w:val="1C2420"/>
          <w:sz w:val="21"/>
        </w:rPr>
        <w:t>Insights — per-location intelligence: survey number, GPS, land use, 6 layer categories, AI property report. Free “Property” and “Risk” consults; ₹2,500 “Rajakaluve” (storm-drain / govt-boundary) verification.</w:t>
      </w:r>
    </w:p>
    <w:p>
      <w:pPr>
        <w:pStyle w:val="ListBullet"/>
        <w:spacing w:after="20"/>
      </w:pPr>
      <w:r>
        <w:rPr>
          <w:color w:val="1C2420"/>
          <w:sz w:val="21"/>
        </w:rPr>
        <w:t>Realm — end-to-end land-acquisition platform for developers: 150+ spatial layers + deal-pipeline management + AI reports in one map-first interface.</w:t>
      </w:r>
    </w:p>
    <w:p>
      <w:pPr>
        <w:pStyle w:val="ListBullet"/>
        <w:spacing w:after="20"/>
      </w:pPr>
      <w:r>
        <w:rPr>
          <w:color w:val="1C2420"/>
          <w:sz w:val="21"/>
        </w:rPr>
        <w:t>Reos — real-estate sales / project-management OS (live bookings, ledgers, transactions).</w:t>
      </w:r>
    </w:p>
    <w:p>
      <w:pPr>
        <w:pStyle w:val="ListBullet"/>
        <w:spacing w:after="20"/>
      </w:pPr>
      <w:r>
        <w:rPr>
          <w:color w:val="1C2420"/>
          <w:sz w:val="21"/>
        </w:rPr>
        <w:t>Real Space — drone-based virtual property tours.</w:t>
      </w:r>
    </w:p>
    <w:p>
      <w:pPr>
        <w:spacing w:before="320" w:after="80"/>
        <w:pBdr>
          <w:bottom w:val="single" w:sz="6" w:space="2" w:color="2E7D6F"/>
        </w:pBdr>
      </w:pPr>
      <w:r>
        <w:rPr>
          <w:b/>
          <w:color w:val="2E7D6F"/>
          <w:sz w:val="32"/>
        </w:rPr>
        <w:t>4. The Map — What It Shows and How It Works</w:t>
      </w:r>
    </w:p>
    <w:p>
      <w:pPr>
        <w:spacing w:after="80"/>
      </w:pPr>
      <w:r>
        <w:rPr>
          <w:b w:val="0"/>
          <w:color w:val="1C2420"/>
          <w:sz w:val="21"/>
        </w:rPr>
        <w:t>The product is a basemap + cadastral parcel overlay + thematic layers. Every revenue-village land parcel is drawn as a polygon labelled by survey number (in our captured screenshot, labels like 36/*/* and 37/*/* are survey number / hissa sub-division wildcards). Six intelligence layers sit on top, deepest in Karnataka: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E7D6F"/>
          </w:tcPr>
          <w:p>
            <w:r>
              <w:rPr>
                <w:b/>
                <w:color w:val="FFFFFF"/>
                <w:sz w:val="19"/>
              </w:rPr>
              <w:t>Intelligence layer</w:t>
            </w:r>
          </w:p>
        </w:tc>
        <w:tc>
          <w:tcPr>
            <w:tcW w:type="dxa" w:w="4320"/>
            <w:shd w:val="clear" w:fill="2E7D6F"/>
          </w:tcPr>
          <w:p>
            <w:r>
              <w:rPr>
                <w:b/>
                <w:color w:val="FFFFFF"/>
                <w:sz w:val="19"/>
              </w:rPr>
              <w:t>Named sub-layers</w:t>
            </w:r>
          </w:p>
        </w:tc>
      </w:tr>
      <w:tr>
        <w:tc>
          <w:tcPr>
            <w:tcW w:type="dxa" w:w="4320"/>
          </w:tcPr>
          <w:p>
            <w:r>
              <w:rPr>
                <w:color w:val="1C2420"/>
                <w:sz w:val="18"/>
              </w:rPr>
              <w:t>Growth</w:t>
            </w:r>
          </w:p>
        </w:tc>
        <w:tc>
          <w:tcPr>
            <w:tcW w:type="dxa" w:w="4320"/>
          </w:tcPr>
          <w:p>
            <w:r>
              <w:rPr>
                <w:color w:val="1C2420"/>
                <w:sz w:val="18"/>
              </w:rPr>
              <w:t>National Highways, Metro &amp; Railway, Smart City Zones, Industrial Corridors, KWIN / Bharatmala</w:t>
            </w:r>
          </w:p>
        </w:tc>
      </w:tr>
      <w:tr>
        <w:tc>
          <w:tcPr>
            <w:tcW w:type="dxa" w:w="4320"/>
            <w:shd w:val="clear" w:fill="F4F8F7"/>
          </w:tcPr>
          <w:p>
            <w:r>
              <w:rPr>
                <w:color w:val="1C2420"/>
                <w:sz w:val="18"/>
              </w:rPr>
              <w:t>Boundary</w:t>
            </w:r>
          </w:p>
        </w:tc>
        <w:tc>
          <w:tcPr>
            <w:tcW w:type="dxa" w:w="4320"/>
            <w:shd w:val="clear" w:fill="F4F8F7"/>
          </w:tcPr>
          <w:p>
            <w:r>
              <w:rPr>
                <w:color w:val="1C2420"/>
                <w:sz w:val="18"/>
              </w:rPr>
              <w:t>Survey Boundaries, BBMP Wards, Greater Bengaluru CDP Zones, Panchayat Limits</w:t>
            </w:r>
          </w:p>
        </w:tc>
      </w:tr>
      <w:tr>
        <w:tc>
          <w:tcPr>
            <w:tcW w:type="dxa" w:w="4320"/>
          </w:tcPr>
          <w:p>
            <w:r>
              <w:rPr>
                <w:color w:val="1C2420"/>
                <w:sz w:val="18"/>
              </w:rPr>
              <w:t>Connectivity</w:t>
            </w:r>
          </w:p>
        </w:tc>
        <w:tc>
          <w:tcPr>
            <w:tcW w:type="dxa" w:w="4320"/>
          </w:tcPr>
          <w:p>
            <w:r>
              <w:rPr>
                <w:color w:val="1C2420"/>
                <w:sz w:val="18"/>
              </w:rPr>
              <w:t>Airports, Metro, Railway, Bus Depots, Highways</w:t>
            </w:r>
          </w:p>
        </w:tc>
      </w:tr>
      <w:tr>
        <w:tc>
          <w:tcPr>
            <w:tcW w:type="dxa" w:w="4320"/>
            <w:shd w:val="clear" w:fill="F4F8F7"/>
          </w:tcPr>
          <w:p>
            <w:r>
              <w:rPr>
                <w:color w:val="1C2420"/>
                <w:sz w:val="18"/>
              </w:rPr>
              <w:t>Amenity</w:t>
            </w:r>
          </w:p>
        </w:tc>
        <w:tc>
          <w:tcPr>
            <w:tcW w:type="dxa" w:w="4320"/>
            <w:shd w:val="clear" w:fill="F4F8F7"/>
          </w:tcPr>
          <w:p>
            <w:r>
              <w:rPr>
                <w:color w:val="1C2420"/>
                <w:sz w:val="18"/>
              </w:rPr>
              <w:t>Schools, Hospitals, Shopping, Restaurants, Parks</w:t>
            </w:r>
          </w:p>
        </w:tc>
      </w:tr>
      <w:tr>
        <w:tc>
          <w:tcPr>
            <w:tcW w:type="dxa" w:w="4320"/>
          </w:tcPr>
          <w:p>
            <w:r>
              <w:rPr>
                <w:color w:val="1C2420"/>
                <w:sz w:val="18"/>
              </w:rPr>
              <w:t>Risk</w:t>
            </w:r>
          </w:p>
        </w:tc>
        <w:tc>
          <w:tcPr>
            <w:tcW w:type="dxa" w:w="4320"/>
          </w:tcPr>
          <w:p>
            <w:r>
              <w:rPr>
                <w:color w:val="1C2420"/>
                <w:sz w:val="18"/>
              </w:rPr>
              <w:t>Flood Index, Rajakaluves, CRZ Zones, Power Lines, Protected Areas</w:t>
            </w:r>
          </w:p>
        </w:tc>
      </w:tr>
      <w:tr>
        <w:tc>
          <w:tcPr>
            <w:tcW w:type="dxa" w:w="4320"/>
            <w:shd w:val="clear" w:fill="F4F8F7"/>
          </w:tcPr>
          <w:p>
            <w:r>
              <w:rPr>
                <w:color w:val="1C2420"/>
                <w:sz w:val="18"/>
              </w:rPr>
              <w:t>Utility</w:t>
            </w:r>
          </w:p>
        </w:tc>
        <w:tc>
          <w:tcPr>
            <w:tcW w:type="dxa" w:w="4320"/>
            <w:shd w:val="clear" w:fill="F4F8F7"/>
          </w:tcPr>
          <w:p>
            <w:r>
              <w:rPr>
                <w:color w:val="1C2420"/>
                <w:sz w:val="18"/>
              </w:rPr>
              <w:t>Water Pipeline, Storm Water Drain, Sewage Pipeline, Canal</w:t>
            </w:r>
          </w:p>
        </w:tc>
      </w:tr>
    </w:tbl>
    <w:p>
      <w:pPr>
        <w:spacing w:after="40"/>
      </w:pPr>
    </w:p>
    <w:p>
      <w:pPr>
        <w:spacing w:before="320" w:after="80"/>
        <w:pBdr>
          <w:bottom w:val="single" w:sz="6" w:space="2" w:color="2E7D6F"/>
        </w:pBdr>
      </w:pPr>
      <w:r>
        <w:rPr>
          <w:b/>
          <w:color w:val="2E7D6F"/>
          <w:sz w:val="32"/>
        </w:rPr>
        <w:t>5. How “Pinpoint per Parcel” Is Achieved</w:t>
      </w:r>
    </w:p>
    <w:p>
      <w:pPr>
        <w:spacing w:after="80"/>
      </w:pPr>
      <w:r>
        <w:rPr>
          <w:b w:val="0"/>
          <w:color w:val="1C2420"/>
          <w:sz w:val="21"/>
        </w:rPr>
        <w:t>A survey number maps to a georeferenced revenue-village cadastral map (the FMB / Tippan survey sketch), which renders as the parcel polygon. The national / state backbone they build on:</w:t>
      </w:r>
    </w:p>
    <w:p>
      <w:pPr>
        <w:pStyle w:val="ListBullet"/>
        <w:spacing w:after="20"/>
      </w:pPr>
      <w:r>
        <w:rPr>
          <w:color w:val="1C2420"/>
          <w:sz w:val="21"/>
        </w:rPr>
        <w:t>Bhu-Naksha — NIC's GIS cadastral engine, run by many states; renders parcel polygons by survey number.</w:t>
      </w:r>
    </w:p>
    <w:p>
      <w:pPr>
        <w:pStyle w:val="ListBullet"/>
        <w:spacing w:after="20"/>
      </w:pPr>
      <w:r>
        <w:rPr>
          <w:color w:val="1C2420"/>
          <w:sz w:val="21"/>
        </w:rPr>
        <w:t>ULPIN — new 14-digit lat/long parcel ID under DILRMP (OGC-compliant), the emerging single source of truth.</w:t>
      </w:r>
    </w:p>
    <w:p>
      <w:pPr>
        <w:pStyle w:val="ListBullet"/>
        <w:spacing w:after="20"/>
      </w:pPr>
      <w:r>
        <w:rPr>
          <w:color w:val="1C2420"/>
          <w:sz w:val="21"/>
        </w:rPr>
        <w:t>Dishaank (Karnataka, KSRSAC) — links historic cadastral maps to live GPS; walk onto a plot and it drops a pin with the official survey number.</w:t>
      </w:r>
    </w:p>
    <w:p>
      <w:pPr>
        <w:spacing w:after="80"/>
      </w:pPr>
      <w:r>
        <w:rPr>
          <w:b w:val="0"/>
          <w:color w:val="1C2420"/>
          <w:sz w:val="21"/>
        </w:rPr>
        <w:t>TalkingLands' real work is to ingest these per-state sources and stitch / clean them into one unified parcel database — that data aggregation is the moat, not the rendering.</w:t>
      </w:r>
    </w:p>
    <w:p>
      <w:pPr>
        <w:spacing w:before="320" w:after="80"/>
        <w:pBdr>
          <w:bottom w:val="single" w:sz="6" w:space="2" w:color="2E7D6F"/>
        </w:pBdr>
      </w:pPr>
      <w:r>
        <w:rPr>
          <w:b/>
          <w:color w:val="2E7D6F"/>
          <w:sz w:val="32"/>
        </w:rPr>
        <w:t>6. Data Sources</w:t>
      </w:r>
    </w:p>
    <w:p>
      <w:pPr>
        <w:spacing w:after="80"/>
      </w:pPr>
      <w:r>
        <w:rPr>
          <w:b w:val="0"/>
          <w:color w:val="1C2420"/>
          <w:sz w:val="21"/>
        </w:rPr>
        <w:t>In their own words:</w:t>
      </w:r>
    </w:p>
    <w:p>
      <w:pPr>
        <w:ind w:left="200"/>
        <w:shd w:val="clear" w:fill="EAF2F1"/>
      </w:pPr>
      <w:r>
        <w:rPr>
          <w:i/>
          <w:color w:val="5A6A66"/>
          <w:sz w:val="21"/>
        </w:rPr>
        <w:t>“Government records — state revenue departments for land records, Survey of India for boundary and topographical data, municipal planning authorities for CDP and zoning maps, and government project databases.”</w:t>
      </w:r>
    </w:p>
    <w:p>
      <w:pPr>
        <w:spacing w:after="80"/>
      </w:pPr>
      <w:r>
        <w:rPr>
          <w:b w:val="0"/>
          <w:color w:val="1C2420"/>
          <w:sz w:val="21"/>
        </w:rPr>
        <w:t>Per-state record systems they build on (illustrative):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2E7D6F"/>
          </w:tcPr>
          <w:p>
            <w:r>
              <w:rPr>
                <w:b/>
                <w:color w:val="FFFFFF"/>
                <w:sz w:val="19"/>
              </w:rPr>
              <w:t>State / level</w:t>
            </w:r>
          </w:p>
        </w:tc>
        <w:tc>
          <w:tcPr>
            <w:tcW w:type="dxa" w:w="4320"/>
            <w:shd w:val="clear" w:fill="2E7D6F"/>
          </w:tcPr>
          <w:p>
            <w:r>
              <w:rPr>
                <w:b/>
                <w:color w:val="FFFFFF"/>
                <w:sz w:val="19"/>
              </w:rPr>
              <w:t>Record system(s)</w:t>
            </w:r>
          </w:p>
        </w:tc>
      </w:tr>
      <w:tr>
        <w:tc>
          <w:tcPr>
            <w:tcW w:type="dxa" w:w="4320"/>
          </w:tcPr>
          <w:p>
            <w:r>
              <w:rPr>
                <w:color w:val="1C2420"/>
                <w:sz w:val="18"/>
              </w:rPr>
              <w:t>Karnataka</w:t>
            </w:r>
          </w:p>
        </w:tc>
        <w:tc>
          <w:tcPr>
            <w:tcW w:type="dxa" w:w="4320"/>
          </w:tcPr>
          <w:p>
            <w:r>
              <w:rPr>
                <w:color w:val="1C2420"/>
                <w:sz w:val="18"/>
              </w:rPr>
              <w:t>Bhoomi / Dishaank / KGIS (KSRSAC)</w:t>
            </w:r>
          </w:p>
        </w:tc>
      </w:tr>
      <w:tr>
        <w:tc>
          <w:tcPr>
            <w:tcW w:type="dxa" w:w="4320"/>
            <w:shd w:val="clear" w:fill="F4F8F7"/>
          </w:tcPr>
          <w:p>
            <w:r>
              <w:rPr>
                <w:color w:val="1C2420"/>
                <w:sz w:val="18"/>
              </w:rPr>
              <w:t>Maharashtra</w:t>
            </w:r>
          </w:p>
        </w:tc>
        <w:tc>
          <w:tcPr>
            <w:tcW w:type="dxa" w:w="4320"/>
            <w:shd w:val="clear" w:fill="F4F8F7"/>
          </w:tcPr>
          <w:p>
            <w:r>
              <w:rPr>
                <w:color w:val="1C2420"/>
                <w:sz w:val="18"/>
              </w:rPr>
              <w:t>Mahabhulekh (7/12)</w:t>
            </w:r>
          </w:p>
        </w:tc>
      </w:tr>
      <w:tr>
        <w:tc>
          <w:tcPr>
            <w:tcW w:type="dxa" w:w="4320"/>
          </w:tcPr>
          <w:p>
            <w:r>
              <w:rPr>
                <w:color w:val="1C2420"/>
                <w:sz w:val="18"/>
              </w:rPr>
              <w:t>Telangana</w:t>
            </w:r>
          </w:p>
        </w:tc>
        <w:tc>
          <w:tcPr>
            <w:tcW w:type="dxa" w:w="4320"/>
          </w:tcPr>
          <w:p>
            <w:r>
              <w:rPr>
                <w:color w:val="1C2420"/>
                <w:sz w:val="18"/>
              </w:rPr>
              <w:t>Dharani</w:t>
            </w:r>
          </w:p>
        </w:tc>
      </w:tr>
      <w:tr>
        <w:tc>
          <w:tcPr>
            <w:tcW w:type="dxa" w:w="4320"/>
            <w:shd w:val="clear" w:fill="F4F8F7"/>
          </w:tcPr>
          <w:p>
            <w:r>
              <w:rPr>
                <w:color w:val="1C2420"/>
                <w:sz w:val="18"/>
              </w:rPr>
              <w:t>Andhra Pradesh</w:t>
            </w:r>
          </w:p>
        </w:tc>
        <w:tc>
          <w:tcPr>
            <w:tcW w:type="dxa" w:w="4320"/>
            <w:shd w:val="clear" w:fill="F4F8F7"/>
          </w:tcPr>
          <w:p>
            <w:r>
              <w:rPr>
                <w:color w:val="1C2420"/>
                <w:sz w:val="18"/>
              </w:rPr>
              <w:t>MeeBhoomi / APSAC</w:t>
            </w:r>
          </w:p>
        </w:tc>
      </w:tr>
      <w:tr>
        <w:tc>
          <w:tcPr>
            <w:tcW w:type="dxa" w:w="4320"/>
          </w:tcPr>
          <w:p>
            <w:r>
              <w:rPr>
                <w:color w:val="1C2420"/>
                <w:sz w:val="18"/>
              </w:rPr>
              <w:t>Tamil Nadu</w:t>
            </w:r>
          </w:p>
        </w:tc>
        <w:tc>
          <w:tcPr>
            <w:tcW w:type="dxa" w:w="4320"/>
          </w:tcPr>
          <w:p>
            <w:r>
              <w:rPr>
                <w:color w:val="1C2420"/>
                <w:sz w:val="18"/>
              </w:rPr>
              <w:t>Patta-Chitta / FMB</w:t>
            </w:r>
          </w:p>
        </w:tc>
      </w:tr>
      <w:tr>
        <w:tc>
          <w:tcPr>
            <w:tcW w:type="dxa" w:w="4320"/>
            <w:shd w:val="clear" w:fill="F4F8F7"/>
          </w:tcPr>
          <w:p>
            <w:r>
              <w:rPr>
                <w:color w:val="1C2420"/>
                <w:sz w:val="18"/>
              </w:rPr>
              <w:t>Uttar Pradesh</w:t>
            </w:r>
          </w:p>
        </w:tc>
        <w:tc>
          <w:tcPr>
            <w:tcW w:type="dxa" w:w="4320"/>
            <w:shd w:val="clear" w:fill="F4F8F7"/>
          </w:tcPr>
          <w:p>
            <w:r>
              <w:rPr>
                <w:color w:val="1C2420"/>
                <w:sz w:val="18"/>
              </w:rPr>
              <w:t>Bhulekh</w:t>
            </w:r>
          </w:p>
        </w:tc>
      </w:tr>
      <w:tr>
        <w:tc>
          <w:tcPr>
            <w:tcW w:type="dxa" w:w="4320"/>
          </w:tcPr>
          <w:p>
            <w:r>
              <w:rPr>
                <w:color w:val="1C2420"/>
                <w:sz w:val="18"/>
              </w:rPr>
              <w:t>National</w:t>
            </w:r>
          </w:p>
        </w:tc>
        <w:tc>
          <w:tcPr>
            <w:tcW w:type="dxa" w:w="4320"/>
          </w:tcPr>
          <w:p>
            <w:r>
              <w:rPr>
                <w:color w:val="1C2420"/>
                <w:sz w:val="18"/>
              </w:rPr>
              <w:t>Bhu-Naksha; Bhuvan (ISRO / NRSC) WMS</w:t>
            </w:r>
          </w:p>
        </w:tc>
      </w:tr>
    </w:tbl>
    <w:p>
      <w:pPr>
        <w:spacing w:after="40"/>
      </w:pPr>
    </w:p>
    <w:p>
      <w:pPr>
        <w:spacing w:before="320" w:after="80"/>
        <w:pBdr>
          <w:bottom w:val="single" w:sz="6" w:space="2" w:color="2E7D6F"/>
        </w:pBdr>
      </w:pPr>
      <w:r>
        <w:rPr>
          <w:b/>
          <w:color w:val="2E7D6F"/>
          <w:sz w:val="32"/>
        </w:rPr>
        <w:t>7. Monetisation — “TL Coins” Credit Model</w:t>
      </w:r>
    </w:p>
    <w:p>
      <w:pPr>
        <w:spacing w:after="80"/>
      </w:pPr>
      <w:r>
        <w:rPr>
          <w:b w:val="0"/>
          <w:color w:val="1C2420"/>
          <w:sz w:val="21"/>
        </w:rPr>
        <w:t>Free to explore; 5,000 TL Coins granted on signup. Coin packs ₹100–₹1,000 (up to 50% bonus). Layers are unlocked per-view by tier: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E7D6F"/>
          </w:tcPr>
          <w:p>
            <w:r>
              <w:rPr>
                <w:b/>
                <w:color w:val="FFFFFF"/>
                <w:sz w:val="19"/>
              </w:rPr>
              <w:t>Tier / item</w:t>
            </w:r>
          </w:p>
        </w:tc>
        <w:tc>
          <w:tcPr>
            <w:tcW w:type="dxa" w:w="2880"/>
            <w:shd w:val="clear" w:fill="2E7D6F"/>
          </w:tcPr>
          <w:p>
            <w:r>
              <w:rPr>
                <w:b/>
                <w:color w:val="FFFFFF"/>
                <w:sz w:val="19"/>
              </w:rPr>
              <w:t>Price</w:t>
            </w:r>
          </w:p>
        </w:tc>
        <w:tc>
          <w:tcPr>
            <w:tcW w:type="dxa" w:w="2880"/>
            <w:shd w:val="clear" w:fill="2E7D6F"/>
          </w:tcPr>
          <w:p>
            <w:r>
              <w:rPr>
                <w:b/>
                <w:color w:val="FFFFFF"/>
                <w:sz w:val="19"/>
              </w:rPr>
              <w:t>Example</w:t>
            </w:r>
          </w:p>
        </w:tc>
      </w:tr>
      <w:tr>
        <w:tc>
          <w:tcPr>
            <w:tcW w:type="dxa" w:w="2880"/>
          </w:tcPr>
          <w:p>
            <w:r>
              <w:rPr>
                <w:color w:val="1C2420"/>
                <w:sz w:val="18"/>
              </w:rPr>
              <w:t>Bronze layer</w:t>
            </w:r>
          </w:p>
        </w:tc>
        <w:tc>
          <w:tcPr>
            <w:tcW w:type="dxa" w:w="2880"/>
          </w:tcPr>
          <w:p>
            <w:r>
              <w:rPr>
                <w:color w:val="1C2420"/>
                <w:sz w:val="18"/>
              </w:rPr>
              <w:t>30 coins</w:t>
            </w:r>
          </w:p>
        </w:tc>
        <w:tc>
          <w:tcPr>
            <w:tcW w:type="dxa" w:w="2880"/>
          </w:tcPr>
          <w:p>
            <w:r>
              <w:rPr>
                <w:color w:val="1C2420"/>
                <w:sz w:val="18"/>
              </w:rPr>
              <w:t>Village maps</w:t>
            </w:r>
          </w:p>
        </w:tc>
      </w:tr>
      <w:tr>
        <w:tc>
          <w:tcPr>
            <w:tcW w:type="dxa" w:w="2880"/>
            <w:shd w:val="clear" w:fill="F4F8F7"/>
          </w:tcPr>
          <w:p>
            <w:r>
              <w:rPr>
                <w:color w:val="1C2420"/>
                <w:sz w:val="18"/>
              </w:rPr>
              <w:t>Silver layer</w:t>
            </w:r>
          </w:p>
        </w:tc>
        <w:tc>
          <w:tcPr>
            <w:tcW w:type="dxa" w:w="2880"/>
            <w:shd w:val="clear" w:fill="F4F8F7"/>
          </w:tcPr>
          <w:p>
            <w:r>
              <w:rPr>
                <w:color w:val="1C2420"/>
                <w:sz w:val="18"/>
              </w:rPr>
              <w:t>100 coins</w:t>
            </w:r>
          </w:p>
        </w:tc>
        <w:tc>
          <w:tcPr>
            <w:tcW w:type="dxa" w:w="2880"/>
            <w:shd w:val="clear" w:fill="F4F8F7"/>
          </w:tcPr>
          <w:p>
            <w:r>
              <w:rPr>
                <w:color w:val="1C2420"/>
                <w:sz w:val="18"/>
              </w:rPr>
              <w:t>Greater Bengaluru zones</w:t>
            </w:r>
          </w:p>
        </w:tc>
      </w:tr>
      <w:tr>
        <w:tc>
          <w:tcPr>
            <w:tcW w:type="dxa" w:w="2880"/>
          </w:tcPr>
          <w:p>
            <w:r>
              <w:rPr>
                <w:color w:val="1C2420"/>
                <w:sz w:val="18"/>
              </w:rPr>
              <w:t>Gold layer</w:t>
            </w:r>
          </w:p>
        </w:tc>
        <w:tc>
          <w:tcPr>
            <w:tcW w:type="dxa" w:w="2880"/>
          </w:tcPr>
          <w:p>
            <w:r>
              <w:rPr>
                <w:color w:val="1C2420"/>
                <w:sz w:val="18"/>
              </w:rPr>
              <w:t>300 coins</w:t>
            </w:r>
          </w:p>
        </w:tc>
        <w:tc>
          <w:tcPr>
            <w:tcW w:type="dxa" w:w="2880"/>
          </w:tcPr>
          <w:p>
            <w:r>
              <w:rPr>
                <w:color w:val="1C2420"/>
                <w:sz w:val="18"/>
              </w:rPr>
              <w:t>Rajakaluve risk data</w:t>
            </w:r>
          </w:p>
        </w:tc>
      </w:tr>
      <w:tr>
        <w:tc>
          <w:tcPr>
            <w:tcW w:type="dxa" w:w="2880"/>
            <w:shd w:val="clear" w:fill="F4F8F7"/>
          </w:tcPr>
          <w:p>
            <w:r>
              <w:rPr>
                <w:color w:val="1C2420"/>
                <w:sz w:val="18"/>
              </w:rPr>
              <w:t>Property report</w:t>
            </w:r>
          </w:p>
        </w:tc>
        <w:tc>
          <w:tcPr>
            <w:tcW w:type="dxa" w:w="2880"/>
            <w:shd w:val="clear" w:fill="F4F8F7"/>
          </w:tcPr>
          <w:p>
            <w:r>
              <w:rPr>
                <w:color w:val="1C2420"/>
                <w:sz w:val="18"/>
              </w:rPr>
              <w:t>₹100</w:t>
            </w:r>
          </w:p>
        </w:tc>
        <w:tc>
          <w:tcPr>
            <w:tcW w:type="dxa" w:w="2880"/>
            <w:shd w:val="clear" w:fill="F4F8F7"/>
          </w:tcPr>
          <w:p>
            <w:r>
              <w:rPr>
                <w:color w:val="1C2420"/>
                <w:sz w:val="18"/>
              </w:rPr>
              <w:t>Full AI location report</w:t>
            </w:r>
          </w:p>
        </w:tc>
      </w:tr>
      <w:tr>
        <w:tc>
          <w:tcPr>
            <w:tcW w:type="dxa" w:w="2880"/>
          </w:tcPr>
          <w:p>
            <w:r>
              <w:rPr>
                <w:color w:val="1C2420"/>
                <w:sz w:val="18"/>
              </w:rPr>
              <w:t>Rajakaluve consult</w:t>
            </w:r>
          </w:p>
        </w:tc>
        <w:tc>
          <w:tcPr>
            <w:tcW w:type="dxa" w:w="2880"/>
          </w:tcPr>
          <w:p>
            <w:r>
              <w:rPr>
                <w:color w:val="1C2420"/>
                <w:sz w:val="18"/>
              </w:rPr>
              <w:t>₹2,500</w:t>
            </w:r>
          </w:p>
        </w:tc>
        <w:tc>
          <w:tcPr>
            <w:tcW w:type="dxa" w:w="2880"/>
          </w:tcPr>
          <w:p>
            <w:r>
              <w:rPr>
                <w:color w:val="1C2420"/>
                <w:sz w:val="18"/>
              </w:rPr>
              <w:t>Storm-drain / govt-boundary verification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color w:val="1C2420"/>
          <w:sz w:val="21"/>
        </w:rPr>
        <w:t>Note: the locked “Vinayakanagar – 30” pin in our screenshot is a 30-coin Bronze village-map layer — i.e. pay-to-unlock.</w:t>
      </w:r>
    </w:p>
    <w:p>
      <w:pPr>
        <w:spacing w:before="320" w:after="80"/>
        <w:pBdr>
          <w:bottom w:val="single" w:sz="6" w:space="2" w:color="2E7D6F"/>
        </w:pBdr>
      </w:pPr>
      <w:r>
        <w:rPr>
          <w:b/>
          <w:color w:val="2E7D6F"/>
          <w:sz w:val="32"/>
        </w:rPr>
        <w:t>8. Technology Read (Inferred — they publish no stack)</w:t>
      </w:r>
    </w:p>
    <w:p>
      <w:pPr>
        <w:pStyle w:val="ListBullet"/>
        <w:spacing w:after="20"/>
      </w:pPr>
      <w:r>
        <w:rPr>
          <w:color w:val="1C2420"/>
          <w:sz w:val="21"/>
        </w:rPr>
        <w:t>Standard web-GIS pattern: vector / tile basemap + parcel polygons as a vector / WMS overlay + toggleable thematic layers; survey-number → polygon lookup against a parcel DB.</w:t>
      </w:r>
    </w:p>
    <w:p>
      <w:pPr>
        <w:pStyle w:val="ListBullet"/>
        <w:spacing w:after="20"/>
      </w:pPr>
      <w:r>
        <w:rPr>
          <w:color w:val="1C2420"/>
          <w:sz w:val="21"/>
        </w:rPr>
        <w:t>AI = LLM-generated natural-language property report summarising the layer data (“150+ layers decoded into one report in under a minute”).</w:t>
      </w:r>
    </w:p>
    <w:p>
      <w:pPr>
        <w:pStyle w:val="ListBullet"/>
        <w:spacing w:after="20"/>
      </w:pPr>
      <w:r>
        <w:rPr>
          <w:color w:val="1C2420"/>
          <w:sz w:val="21"/>
        </w:rPr>
        <w:t>No proprietary satellite / sensor; the value is data aggregation + cleaning + UX, not raw technology.</w:t>
      </w:r>
    </w:p>
    <w:p>
      <w:pPr>
        <w:spacing w:before="320" w:after="80"/>
        <w:pBdr>
          <w:bottom w:val="single" w:sz="6" w:space="2" w:color="2E7D6F"/>
        </w:pBdr>
      </w:pPr>
      <w:r>
        <w:rPr>
          <w:b/>
          <w:color w:val="2E7D6F"/>
          <w:sz w:val="32"/>
        </w:rPr>
        <w:t>9. Competitive Landscape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2E7D6F"/>
          </w:tcPr>
          <w:p>
            <w:r>
              <w:rPr>
                <w:b/>
                <w:color w:val="FFFFFF"/>
                <w:sz w:val="19"/>
              </w:rPr>
              <w:t>Company</w:t>
            </w:r>
          </w:p>
        </w:tc>
        <w:tc>
          <w:tcPr>
            <w:tcW w:type="dxa" w:w="2880"/>
            <w:shd w:val="clear" w:fill="2E7D6F"/>
          </w:tcPr>
          <w:p>
            <w:r>
              <w:rPr>
                <w:b/>
                <w:color w:val="FFFFFF"/>
                <w:sz w:val="19"/>
              </w:rPr>
              <w:t>Focus</w:t>
            </w:r>
          </w:p>
        </w:tc>
        <w:tc>
          <w:tcPr>
            <w:tcW w:type="dxa" w:w="2880"/>
            <w:shd w:val="clear" w:fill="2E7D6F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color w:val="1C2420"/>
                <w:sz w:val="18"/>
              </w:rPr>
              <w:t>TalkingLands</w:t>
            </w:r>
          </w:p>
        </w:tc>
        <w:tc>
          <w:tcPr>
            <w:tcW w:type="dxa" w:w="2880"/>
          </w:tcPr>
          <w:p>
            <w:r>
              <w:rPr>
                <w:color w:val="1C2420"/>
                <w:sz w:val="18"/>
              </w:rPr>
              <w:t>Parcel-level spatial / map intelligence</w:t>
            </w:r>
          </w:p>
        </w:tc>
        <w:tc>
          <w:tcPr>
            <w:tcW w:type="dxa" w:w="2880"/>
          </w:tcPr>
          <w:p>
            <w:r>
              <w:rPr>
                <w:color w:val="1C2420"/>
                <w:sz w:val="18"/>
              </w:rPr>
              <w:t>Bengaluru, 2021, bootstrapped, Karnataka-deep</w:t>
            </w:r>
          </w:p>
        </w:tc>
      </w:tr>
      <w:tr>
        <w:tc>
          <w:tcPr>
            <w:tcW w:type="dxa" w:w="2880"/>
            <w:shd w:val="clear" w:fill="F4F8F7"/>
          </w:tcPr>
          <w:p>
            <w:r>
              <w:rPr>
                <w:color w:val="1C2420"/>
                <w:sz w:val="18"/>
              </w:rPr>
              <w:t>Landeed</w:t>
            </w:r>
          </w:p>
        </w:tc>
        <w:tc>
          <w:tcPr>
            <w:tcW w:type="dxa" w:w="2880"/>
            <w:shd w:val="clear" w:fill="F4F8F7"/>
          </w:tcPr>
          <w:p>
            <w:r>
              <w:rPr>
                <w:color w:val="1C2420"/>
                <w:sz w:val="18"/>
              </w:rPr>
              <w:t>Document / title retrieval (EC, RTC, 7/12)</w:t>
            </w:r>
          </w:p>
        </w:tc>
        <w:tc>
          <w:tcPr>
            <w:tcW w:type="dxa" w:w="2880"/>
            <w:shd w:val="clear" w:fill="F4F8F7"/>
          </w:tcPr>
          <w:p>
            <w:r>
              <w:rPr>
                <w:color w:val="1C2420"/>
                <w:sz w:val="18"/>
              </w:rPr>
              <w:t>Hyderabad, 2022, YC-backed, $16.3M, 24 states — map-light, doc-heavy (the inverse of TalkingLands)</w:t>
            </w:r>
          </w:p>
        </w:tc>
      </w:tr>
      <w:tr>
        <w:tc>
          <w:tcPr>
            <w:tcW w:type="dxa" w:w="2880"/>
          </w:tcPr>
          <w:p>
            <w:r>
              <w:rPr>
                <w:color w:val="1C2420"/>
                <w:sz w:val="18"/>
              </w:rPr>
              <w:t>Teal, Zapkey, mypatta</w:t>
            </w:r>
          </w:p>
        </w:tc>
        <w:tc>
          <w:tcPr>
            <w:tcW w:type="dxa" w:w="2880"/>
          </w:tcPr>
          <w:p>
            <w:r>
              <w:rPr>
                <w:color w:val="1C2420"/>
                <w:sz w:val="18"/>
              </w:rPr>
              <w:t>Title / transaction adjacents</w:t>
            </w:r>
          </w:p>
        </w:tc>
        <w:tc>
          <w:tcPr>
            <w:tcW w:type="dxa" w:w="2880"/>
          </w:tcPr>
          <w:p>
            <w:r>
              <w:rPr>
                <w:color w:val="1C2420"/>
                <w:sz w:val="18"/>
              </w:rPr>
              <w:t>Smaller / niche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color w:val="1C2420"/>
          <w:sz w:val="21"/>
        </w:rPr>
        <w:t>Read: the market splits into map-first (TalkingLands) vs document-first (Landeed). SAT's opening is map-first plus analysis depth (climate, zoning, 3D) that neither competitor offers.</w:t>
      </w:r>
    </w:p>
    <w:p>
      <w:pPr>
        <w:spacing w:before="320" w:after="80"/>
        <w:pBdr>
          <w:bottom w:val="single" w:sz="6" w:space="2" w:color="2E7D6F"/>
        </w:pBdr>
      </w:pPr>
      <w:r>
        <w:rPr>
          <w:b/>
          <w:color w:val="2E7D6F"/>
          <w:sz w:val="32"/>
        </w:rPr>
        <w:t>10. Caveats on the Claims (for the team)</w:t>
      </w:r>
    </w:p>
    <w:p>
      <w:pPr>
        <w:pStyle w:val="ListBullet"/>
        <w:spacing w:after="20"/>
      </w:pPr>
      <w:r>
        <w:rPr>
          <w:color w:val="1C2420"/>
          <w:sz w:val="21"/>
        </w:rPr>
        <w:t>Layer count: marketing says 150+; the Tracxn profile says 40+. Treat 150+ as aspirational.</w:t>
      </w:r>
    </w:p>
    <w:p>
      <w:pPr>
        <w:pStyle w:val="ListBullet"/>
        <w:spacing w:after="20"/>
      </w:pPr>
      <w:r>
        <w:rPr>
          <w:color w:val="1C2420"/>
          <w:sz w:val="21"/>
        </w:rPr>
        <w:t>Funding: essentially bootstrapped — their moat is data-hustle and state relationships, not capital. SAT can compete on capability without out-spending them.</w:t>
      </w:r>
    </w:p>
    <w:p>
      <w:pPr>
        <w:pStyle w:val="ListBullet"/>
        <w:spacing w:after="20"/>
      </w:pPr>
      <w:r>
        <w:rPr>
          <w:color w:val="1C2420"/>
          <w:sz w:val="21"/>
        </w:rPr>
        <w:t>Coverage outside Karnataka / Telangana / Maharashtra is thin — national parity is unproven.</w:t>
      </w:r>
    </w:p>
    <w:p>
      <w:pPr>
        <w:spacing w:before="320" w:after="80"/>
        <w:pBdr>
          <w:bottom w:val="single" w:sz="6" w:space="2" w:color="2E7D6F"/>
        </w:pBdr>
      </w:pPr>
      <w:r>
        <w:rPr>
          <w:b/>
          <w:color w:val="2E7D6F"/>
          <w:sz w:val="32"/>
        </w:rPr>
        <w:t>11. What This Means for SAT</w:t>
      </w:r>
    </w:p>
    <w:p>
      <w:pPr>
        <w:spacing w:after="80"/>
      </w:pPr>
      <w:r>
        <w:rPr>
          <w:b w:val="0"/>
          <w:color w:val="1C2420"/>
          <w:sz w:val="21"/>
        </w:rPr>
        <w:t>SAT is strong for Architects (Rainfall, Sunpath, Wind, Temperature, Floodplains + 3D) but has no survey-number site search and no cadastral parcels — the core Builders need. The good news: the plumbing largely already exists in the codebase.</w:t>
      </w:r>
    </w:p>
    <w:p>
      <w:pPr>
        <w:pStyle w:val="ListBullet"/>
        <w:spacing w:after="20"/>
      </w:pPr>
      <w:r>
        <w:rPr>
          <w:color w:val="1C2420"/>
          <w:sz w:val="21"/>
        </w:rPr>
        <w:t>KGIS is already integrated (geo service): reverse coordinate → survey number, with land-records deep links (Bhoomi / KAVERI).</w:t>
      </w:r>
    </w:p>
    <w:p>
      <w:pPr>
        <w:pStyle w:val="ListBullet"/>
        <w:spacing w:after="20"/>
      </w:pPr>
      <w:r>
        <w:rPr>
          <w:color w:val="1C2420"/>
          <w:sz w:val="21"/>
        </w:rPr>
        <w:t>A zoning / FAR / setback engine and a 3D map already exist and are reusable.</w:t>
      </w:r>
    </w:p>
    <w:p>
      <w:pPr>
        <w:pStyle w:val="ListBullet"/>
        <w:spacing w:after="20"/>
      </w:pPr>
      <w:r>
        <w:rPr>
          <w:color w:val="1C2420"/>
          <w:sz w:val="21"/>
        </w:rPr>
        <w:t>The unlock: KGIS already exposes a forward service that returns a parcel polygon for a survey number (Karnataka) — the exact “type survey number → parcel on map” feature, available now.</w:t>
      </w:r>
    </w:p>
    <w:p>
      <w:pPr>
        <w:pStyle w:val="ListBullet"/>
        <w:spacing w:after="20"/>
      </w:pPr>
      <w:r>
        <w:rPr>
          <w:color w:val="1C2420"/>
          <w:sz w:val="21"/>
        </w:rPr>
        <w:t>Licensing decision: spike on KGIS now; obtain a formal data license before funding; keep an own-data (digitise / aggregate) fallback ready, since KGIS terms are non-commercial.</w:t>
      </w:r>
    </w:p>
    <w:p>
      <w:pPr>
        <w:pStyle w:val="ListBullet"/>
        <w:spacing w:after="20"/>
      </w:pPr>
      <w:r>
        <w:rPr>
          <w:color w:val="1C2420"/>
          <w:sz w:val="21"/>
        </w:rPr>
        <w:t>Rural-accuracy fix: add a satellite basemap option; survey-number search gives pinpoint rural locations that the current OSM/Nominatim search cannot.</w:t>
      </w:r>
    </w:p>
    <w:p>
      <w:pPr>
        <w:spacing w:after="80"/>
      </w:pPr>
      <w:r>
        <w:rPr>
          <w:b w:val="0"/>
          <w:color w:val="1C2420"/>
          <w:sz w:val="21"/>
        </w:rPr>
        <w:t>Full internal roadmap (phased build A–D, files to touch, risks) is in the research spike: .claude/plans/i-need-to-understand-velvety-pearl.md (Part 2).</w:t>
      </w:r>
    </w:p>
    <w:p>
      <w:pPr>
        <w:spacing w:before="320" w:after="80"/>
        <w:pBdr>
          <w:bottom w:val="single" w:sz="6" w:space="2" w:color="2E7D6F"/>
        </w:pBdr>
      </w:pPr>
      <w:r>
        <w:rPr>
          <w:b/>
          <w:color w:val="2E7D6F"/>
          <w:sz w:val="32"/>
        </w:rPr>
        <w:t>12. Sources</w:t>
      </w:r>
    </w:p>
    <w:p>
      <w:pPr>
        <w:pStyle w:val="ListBullet"/>
        <w:spacing w:after="20"/>
      </w:pPr>
      <w:r>
        <w:rPr>
          <w:color w:val="1C2420"/>
          <w:sz w:val="21"/>
        </w:rPr>
        <w:t>TalkingLands site — talkinglands.com, /insights, /realm</w:t>
      </w:r>
    </w:p>
    <w:p>
      <w:pPr>
        <w:pStyle w:val="ListBullet"/>
        <w:spacing w:after="20"/>
      </w:pPr>
      <w:r>
        <w:rPr>
          <w:color w:val="1C2420"/>
          <w:sz w:val="21"/>
        </w:rPr>
        <w:t>TalkingLands blog — “How to Find Survey Number of Land (2026)”</w:t>
      </w:r>
    </w:p>
    <w:p>
      <w:pPr>
        <w:pStyle w:val="ListBullet"/>
        <w:spacing w:after="20"/>
      </w:pPr>
      <w:r>
        <w:rPr>
          <w:color w:val="1C2420"/>
          <w:sz w:val="21"/>
        </w:rPr>
        <w:t>Crunchbase, Tracxn, Inc42 — company / funding / profile</w:t>
      </w:r>
    </w:p>
    <w:p>
      <w:pPr>
        <w:pStyle w:val="ListBullet"/>
        <w:spacing w:after="20"/>
      </w:pPr>
      <w:r>
        <w:rPr>
          <w:color w:val="1C2420"/>
          <w:sz w:val="21"/>
        </w:rPr>
        <w:t>CXO DigitalPulse — Karnataka minister engagement; The Tribune — Bhu Drishti partnership</w:t>
      </w:r>
    </w:p>
    <w:p>
      <w:pPr>
        <w:pStyle w:val="ListBullet"/>
        <w:spacing w:after="20"/>
      </w:pPr>
      <w:r>
        <w:rPr>
          <w:color w:val="1C2420"/>
          <w:sz w:val="21"/>
        </w:rPr>
        <w:t>KGIS Web API (kgis.ksrsac.in); Bhu-Naksha (bhunaksha.nic.in); Bhuvan WMS (bhuvan-vec1.nrsc.gov.in)</w:t>
      </w:r>
    </w:p>
    <w:p>
      <w:pPr>
        <w:pStyle w:val="ListBullet"/>
        <w:spacing w:after="20"/>
      </w:pPr>
      <w:r>
        <w:rPr>
          <w:color w:val="1C2420"/>
          <w:sz w:val="21"/>
        </w:rPr>
        <w:t>DILRMP / ULPIN (dilrmp.gov.in, dolr.gov.in/ulpin)</w:t>
      </w:r>
    </w:p>
    <w:p>
      <w:pPr>
        <w:pStyle w:val="ListBullet"/>
        <w:spacing w:after="20"/>
      </w:pPr>
      <w:r>
        <w:rPr>
          <w:color w:val="1C2420"/>
          <w:sz w:val="21"/>
        </w:rPr>
        <w:t>Landeed (landeed.com, Crunchbase, Y Combinator)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