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D6F"/>
          <w:sz w:val="48"/>
        </w:rPr>
        <w:t>Obtaining a K-GIS / KSRSAC Data License</w:t>
      </w:r>
    </w:p>
    <w:p>
      <w:r>
        <w:rPr>
          <w:color w:val="5A6A66"/>
          <w:sz w:val="24"/>
        </w:rPr>
        <w:t>Process, contacts &amp; action plan to license Karnataka cadastral + zonation data for SAT Builders View</w:t>
      </w:r>
    </w:p>
    <w:p>
      <w:pPr>
        <w:spacing w:before="160"/>
      </w:pPr>
      <w:r>
        <w:rPr>
          <w:b/>
          <w:color w:val="1C2420"/>
          <w:sz w:val="20"/>
        </w:rPr>
        <w:t xml:space="preserve">Date:  </w:t>
      </w:r>
      <w:r>
        <w:rPr>
          <w:color w:val="5A6A66"/>
          <w:sz w:val="20"/>
        </w:rPr>
        <w:t>2026-06-23</w:t>
        <w:br/>
      </w:r>
      <w:r>
        <w:rPr>
          <w:b/>
          <w:color w:val="1C2420"/>
          <w:sz w:val="20"/>
        </w:rPr>
        <w:t xml:space="preserve">Prepared by:  </w:t>
      </w:r>
      <w:r>
        <w:rPr>
          <w:color w:val="5A6A66"/>
          <w:sz w:val="20"/>
        </w:rPr>
        <w:t>Tanmay C J</w:t>
        <w:br/>
      </w:r>
      <w:r>
        <w:rPr>
          <w:b/>
          <w:color w:val="1C2420"/>
          <w:sz w:val="20"/>
        </w:rPr>
        <w:t xml:space="preserve">Purpose:  </w:t>
      </w:r>
      <w:r>
        <w:rPr>
          <w:color w:val="5A6A66"/>
          <w:sz w:val="20"/>
        </w:rPr>
        <w:t>Lawful path to license K-GIS data for commercial use (Builders View)</w:t>
        <w:br/>
      </w:r>
      <w:r>
        <w:rPr>
          <w:b/>
          <w:color w:val="1C2420"/>
          <w:sz w:val="20"/>
        </w:rPr>
        <w:t xml:space="preserve">Status:  </w:t>
      </w:r>
      <w:r>
        <w:rPr>
          <w:color w:val="5A6A66"/>
          <w:sz w:val="20"/>
        </w:rPr>
        <w:t>Research spike output — pre-build, pre-funding</w:t>
        <w:br/>
      </w:r>
      <w:r>
        <w:rPr>
          <w:b/>
          <w:color w:val="1C2420"/>
          <w:sz w:val="20"/>
        </w:rPr>
        <w:t xml:space="preserve">Audience:  </w:t>
      </w:r>
      <w:r>
        <w:rPr>
          <w:color w:val="5A6A66"/>
          <w:sz w:val="20"/>
        </w:rPr>
        <w:t>SAT team / founders</w:t>
        <w:br/>
      </w:r>
    </w:p>
    <w:p>
      <w:pPr>
        <w:spacing w:before="320" w:after="80"/>
        <w:pBdr>
          <w:bottom w:val="single" w:sz="6" w:space="2" w:color="2E7D6F"/>
        </w:pBdr>
      </w:pPr>
      <w:r>
        <w:rPr>
          <w:b/>
          <w:color w:val="2E7D6F"/>
          <w:sz w:val="32"/>
        </w:rPr>
        <w:t>1. Executive Summary</w:t>
      </w:r>
    </w:p>
    <w:p>
      <w:pPr>
        <w:spacing w:after="80"/>
      </w:pPr>
      <w:r>
        <w:rPr>
          <w:b w:val="0"/>
          <w:color w:val="1C2420"/>
          <w:sz w:val="21"/>
        </w:rPr>
        <w:t>SAT's planned Builders View needs Karnataka cadastral parcels (survey-number → parcel polygon) and land-use zonation. The Karnataka GIS platform (K-GIS), run by KSRSAC, already exposes exactly these via public Web API services and SAT can build against them during a research/dev spike now. However, K-GIS data is explicitly non-commercial: a formal data-sharing license / agreement from KSRSAC is mandatory before any commercial launch or funding round that monetises this data.</w:t>
      </w:r>
    </w:p>
    <w:p>
      <w:pPr>
        <w:spacing w:after="80"/>
      </w:pPr>
      <w:r>
        <w:rPr>
          <w:b w:val="0"/>
          <w:color w:val="1C2420"/>
          <w:sz w:val="21"/>
        </w:rPr>
        <w:t>There is no online self-serve form and no published price list — the process is contact-driven: a formal request to KSRSAC, a data-sharing agreement / MoU, and a committee-set fee. Land records (RTC, mutation, encumbrance) sit with separate departments (Revenue/Bhoomi, Stamps &amp; Registration/Kaveri) and need their own agreements. This doc lists what to license, why, whom to approach, the mechanism, a ready-to-send request letter, and a step-by-step plan with timeline.</w:t>
      </w:r>
    </w:p>
    <w:p>
      <w:pPr>
        <w:spacing w:before="320" w:after="80"/>
        <w:pBdr>
          <w:bottom w:val="single" w:sz="6" w:space="2" w:color="2E7D6F"/>
        </w:pBdr>
      </w:pPr>
      <w:r>
        <w:rPr>
          <w:b/>
          <w:color w:val="2E7D6F"/>
          <w:sz w:val="32"/>
        </w:rPr>
        <w:t>2. What We Need Licensed</w:t>
      </w:r>
    </w:p>
    <w:p>
      <w:pPr>
        <w:spacing w:after="80"/>
      </w:pPr>
      <w:r>
        <w:rPr>
          <w:b w:val="0"/>
          <w:color w:val="1C2420"/>
          <w:sz w:val="21"/>
        </w:rPr>
        <w:t>Priority is the spatial backbone (Karnataka-first). Records are a separate, later track.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2E7D6F"/>
          </w:tcPr>
          <w:p>
            <w:r>
              <w:rPr>
                <w:b/>
                <w:color w:val="FFFFFF"/>
                <w:sz w:val="19"/>
              </w:rPr>
              <w:t>Data</w:t>
            </w:r>
          </w:p>
        </w:tc>
        <w:tc>
          <w:tcPr>
            <w:tcW w:type="dxa" w:w="2880"/>
            <w:shd w:val="clear" w:fill="2E7D6F"/>
          </w:tcPr>
          <w:p>
            <w:r>
              <w:rPr>
                <w:b/>
                <w:color w:val="FFFFFF"/>
                <w:sz w:val="19"/>
              </w:rPr>
              <w:t>K-GIS service / source</w:t>
            </w:r>
          </w:p>
        </w:tc>
        <w:tc>
          <w:tcPr>
            <w:tcW w:type="dxa" w:w="2880"/>
            <w:shd w:val="clear" w:fill="2E7D6F"/>
          </w:tcPr>
          <w:p>
            <w:r>
              <w:rPr>
                <w:b/>
                <w:color w:val="FFFFFF"/>
                <w:sz w:val="19"/>
              </w:rPr>
              <w:t>Use in SAT</w:t>
            </w:r>
          </w:p>
        </w:tc>
      </w:tr>
      <w:tr>
        <w:tc>
          <w:tcPr>
            <w:tcW w:type="dxa" w:w="2880"/>
          </w:tcPr>
          <w:p>
            <w:r>
              <w:rPr>
                <w:color w:val="1C2420"/>
                <w:sz w:val="18"/>
              </w:rPr>
              <w:t>Survey → parcel polygon</w:t>
            </w:r>
          </w:p>
        </w:tc>
        <w:tc>
          <w:tcPr>
            <w:tcW w:type="dxa" w:w="2880"/>
          </w:tcPr>
          <w:p>
            <w:r>
              <w:rPr>
                <w:color w:val="1C2420"/>
                <w:sz w:val="18"/>
              </w:rPr>
              <w:t>geomForSurveyNum (Web API #7; DD/UTM)</w:t>
            </w:r>
          </w:p>
        </w:tc>
        <w:tc>
          <w:tcPr>
            <w:tcW w:type="dxa" w:w="2880"/>
          </w:tcPr>
          <w:p>
            <w:r>
              <w:rPr>
                <w:color w:val="1C2420"/>
                <w:sz w:val="18"/>
              </w:rPr>
              <w:t>Core “type survey number → parcel on map” feature</w:t>
            </w:r>
          </w:p>
        </w:tc>
      </w:tr>
      <w:tr>
        <w:tc>
          <w:tcPr>
            <w:tcW w:type="dxa" w:w="2880"/>
            <w:shd w:val="clear" w:fill="F4F8F7"/>
          </w:tcPr>
          <w:p>
            <w:r>
              <w:rPr>
                <w:color w:val="1C2420"/>
                <w:sz w:val="18"/>
              </w:rPr>
              <w:t>Coordinate → survey number</w:t>
            </w:r>
          </w:p>
        </w:tc>
        <w:tc>
          <w:tcPr>
            <w:tcW w:type="dxa" w:w="2880"/>
            <w:shd w:val="clear" w:fill="F4F8F7"/>
          </w:tcPr>
          <w:p>
            <w:r>
              <w:rPr>
                <w:color w:val="1C2420"/>
                <w:sz w:val="18"/>
              </w:rPr>
              <w:t>getlocationdetails (already integrated)</w:t>
            </w:r>
          </w:p>
        </w:tc>
        <w:tc>
          <w:tcPr>
            <w:tcW w:type="dxa" w:w="2880"/>
            <w:shd w:val="clear" w:fill="F4F8F7"/>
          </w:tcPr>
          <w:p>
            <w:r>
              <w:rPr>
                <w:color w:val="1C2420"/>
                <w:sz w:val="18"/>
              </w:rPr>
              <w:t>Reverse lookup / GPS context</w:t>
            </w:r>
          </w:p>
        </w:tc>
      </w:tr>
      <w:tr>
        <w:tc>
          <w:tcPr>
            <w:tcW w:type="dxa" w:w="2880"/>
          </w:tcPr>
          <w:p>
            <w:r>
              <w:rPr>
                <w:color w:val="1C2420"/>
                <w:sz w:val="18"/>
              </w:rPr>
              <w:t>Land-use zonation</w:t>
            </w:r>
          </w:p>
        </w:tc>
        <w:tc>
          <w:tcPr>
            <w:tcW w:type="dxa" w:w="2880"/>
          </w:tcPr>
          <w:p>
            <w:r>
              <w:rPr>
                <w:color w:val="1C2420"/>
                <w:sz w:val="18"/>
              </w:rPr>
              <w:t>Fetching Zonation Data (Web API #12)</w:t>
            </w:r>
          </w:p>
        </w:tc>
        <w:tc>
          <w:tcPr>
            <w:tcW w:type="dxa" w:w="2880"/>
          </w:tcPr>
          <w:p>
            <w:r>
              <w:rPr>
                <w:color w:val="1C2420"/>
                <w:sz w:val="18"/>
              </w:rPr>
              <w:t>Data-derived zone_class for planning engine</w:t>
            </w:r>
          </w:p>
        </w:tc>
      </w:tr>
      <w:tr>
        <w:tc>
          <w:tcPr>
            <w:tcW w:type="dxa" w:w="2880"/>
            <w:shd w:val="clear" w:fill="F4F8F7"/>
          </w:tcPr>
          <w:p>
            <w:r>
              <w:rPr>
                <w:color w:val="1C2420"/>
                <w:sz w:val="18"/>
              </w:rPr>
              <w:t>Admin hierarchy &amp; village IDs</w:t>
            </w:r>
          </w:p>
        </w:tc>
        <w:tc>
          <w:tcPr>
            <w:tcW w:type="dxa" w:w="2880"/>
            <w:shd w:val="clear" w:fill="F4F8F7"/>
          </w:tcPr>
          <w:p>
            <w:r>
              <w:rPr>
                <w:color w:val="1C2420"/>
                <w:sz w:val="18"/>
              </w:rPr>
              <w:t>Web API #1–#6</w:t>
            </w:r>
          </w:p>
        </w:tc>
        <w:tc>
          <w:tcPr>
            <w:tcW w:type="dxa" w:w="2880"/>
            <w:shd w:val="clear" w:fill="F4F8F7"/>
          </w:tcPr>
          <w:p>
            <w:r>
              <w:rPr>
                <w:color w:val="1C2420"/>
                <w:sz w:val="18"/>
              </w:rPr>
              <w:t>Resolve survey → village id for geometry calls</w:t>
            </w:r>
          </w:p>
        </w:tc>
      </w:tr>
      <w:tr>
        <w:tc>
          <w:tcPr>
            <w:tcW w:type="dxa" w:w="2880"/>
          </w:tcPr>
          <w:p>
            <w:r>
              <w:rPr>
                <w:color w:val="1C2420"/>
                <w:sz w:val="18"/>
              </w:rPr>
              <w:t>Background map layers</w:t>
            </w:r>
          </w:p>
        </w:tc>
        <w:tc>
          <w:tcPr>
            <w:tcW w:type="dxa" w:w="2880"/>
          </w:tcPr>
          <w:p>
            <w:r>
              <w:rPr>
                <w:color w:val="1C2420"/>
                <w:sz w:val="18"/>
              </w:rPr>
              <w:t>K-GIS WMS / WFS</w:t>
            </w:r>
          </w:p>
        </w:tc>
        <w:tc>
          <w:tcPr>
            <w:tcW w:type="dxa" w:w="2880"/>
          </w:tcPr>
          <w:p>
            <w:r>
              <w:rPr>
                <w:color w:val="1C2420"/>
                <w:sz w:val="18"/>
              </w:rPr>
              <w:t>Cadastral / thematic overlays</w:t>
            </w:r>
          </w:p>
        </w:tc>
      </w:tr>
      <w:tr>
        <w:tc>
          <w:tcPr>
            <w:tcW w:type="dxa" w:w="2880"/>
            <w:shd w:val="clear" w:fill="F4F8F7"/>
          </w:tcPr>
          <w:p>
            <w:r>
              <w:rPr>
                <w:color w:val="1C2420"/>
                <w:sz w:val="18"/>
              </w:rPr>
              <w:t>Bulk cadastral (optional)</w:t>
            </w:r>
          </w:p>
        </w:tc>
        <w:tc>
          <w:tcPr>
            <w:tcW w:type="dxa" w:w="2880"/>
            <w:shd w:val="clear" w:fill="F4F8F7"/>
          </w:tcPr>
          <w:p>
            <w:r>
              <w:rPr>
                <w:color w:val="1C2420"/>
                <w:sz w:val="18"/>
              </w:rPr>
              <w:t>Survey-Hissa layers (data-sharing)</w:t>
            </w:r>
          </w:p>
        </w:tc>
        <w:tc>
          <w:tcPr>
            <w:tcW w:type="dxa" w:w="2880"/>
            <w:shd w:val="clear" w:fill="F4F8F7"/>
          </w:tcPr>
          <w:p>
            <w:r>
              <w:rPr>
                <w:color w:val="1C2420"/>
                <w:sz w:val="18"/>
              </w:rPr>
              <w:t>Own-data fallback / offline parcel DB</w:t>
            </w:r>
          </w:p>
        </w:tc>
      </w:tr>
    </w:tbl>
    <w:p>
      <w:pPr>
        <w:spacing w:after="40"/>
      </w:pPr>
    </w:p>
    <w:p>
      <w:pPr>
        <w:spacing w:before="320" w:after="80"/>
        <w:pBdr>
          <w:bottom w:val="single" w:sz="6" w:space="2" w:color="2E7D6F"/>
        </w:pBdr>
      </w:pPr>
      <w:r>
        <w:rPr>
          <w:b/>
          <w:color w:val="2E7D6F"/>
          <w:sz w:val="32"/>
        </w:rPr>
        <w:t>3. Why a License Is Mandatory</w:t>
      </w:r>
    </w:p>
    <w:p>
      <w:pPr>
        <w:spacing w:after="80"/>
      </w:pPr>
      <w:r>
        <w:rPr>
          <w:b w:val="0"/>
          <w:color w:val="1C2420"/>
          <w:sz w:val="21"/>
        </w:rPr>
        <w:t>K-GIS is publicly reachable, but its own published terms restrict use. Verbatim, from the K-GIS FAQ and Web API pages:</w:t>
      </w:r>
    </w:p>
    <w:p>
      <w:pPr>
        <w:ind w:left="200"/>
        <w:shd w:val="clear" w:fill="EAF2F1"/>
      </w:pPr>
      <w:r>
        <w:rPr>
          <w:i/>
          <w:color w:val="5A6A66"/>
          <w:sz w:val="21"/>
        </w:rPr>
        <w:t>“Under no circumstances data will be used for any commercial purposes by anyone.”</w:t>
      </w:r>
    </w:p>
    <w:p>
      <w:pPr>
        <w:ind w:left="200"/>
        <w:shd w:val="clear" w:fill="EAF2F1"/>
      </w:pPr>
      <w:r>
        <w:rPr>
          <w:i/>
          <w:color w:val="5A6A66"/>
          <w:sz w:val="21"/>
        </w:rPr>
        <w:t>“The geospatial data available in KSRSAC Website shall not be used for any legal purpose.”</w:t>
      </w:r>
    </w:p>
    <w:p>
      <w:pPr>
        <w:ind w:left="200"/>
        <w:shd w:val="clear" w:fill="EAF2F1"/>
      </w:pPr>
      <w:r>
        <w:rPr>
          <w:i/>
          <w:color w:val="5A6A66"/>
          <w:sz w:val="21"/>
        </w:rPr>
        <w:t>“…any data leakage / misuse by any individual / firm / by any Organization will be subjected to legal proceedings.”</w:t>
      </w:r>
    </w:p>
    <w:p>
      <w:pPr>
        <w:pStyle w:val="ListBullet"/>
        <w:spacing w:after="20"/>
      </w:pPr>
      <w:r>
        <w:rPr>
          <w:color w:val="1C2420"/>
          <w:sz w:val="21"/>
        </w:rPr>
        <w:t>Spike / development on K-GIS now = acceptable (non-commercial, internal validation).</w:t>
      </w:r>
    </w:p>
    <w:p>
      <w:pPr>
        <w:pStyle w:val="ListBullet"/>
        <w:spacing w:after="20"/>
      </w:pPr>
      <w:r>
        <w:rPr>
          <w:color w:val="1C2420"/>
          <w:sz w:val="21"/>
        </w:rPr>
        <w:t>Commercial launch (paid product / monetised data) = requires a formal KSRSAC data-sharing license first.</w:t>
      </w:r>
    </w:p>
    <w:p>
      <w:pPr>
        <w:pStyle w:val="ListBullet"/>
        <w:spacing w:after="20"/>
      </w:pPr>
      <w:r>
        <w:rPr>
          <w:color w:val="1C2420"/>
          <w:sz w:val="21"/>
        </w:rPr>
        <w:t>Product must be positioned as preliminary / indicative due-diligence, NOT legal title verification (the “not for any legal purpose” clause; also matches Dishaank's own “notional, not legally valid” disclaimer and 3–10 m GPS error).</w:t>
      </w:r>
    </w:p>
    <w:p>
      <w:pPr>
        <w:spacing w:before="320" w:after="80"/>
        <w:pBdr>
          <w:bottom w:val="single" w:sz="6" w:space="2" w:color="2E7D6F"/>
        </w:pBdr>
      </w:pPr>
      <w:r>
        <w:rPr>
          <w:b/>
          <w:color w:val="2E7D6F"/>
          <w:sz w:val="32"/>
        </w:rPr>
        <w:t>4. Whom to Approach</w:t>
      </w:r>
    </w:p>
    <w:p>
      <w:pPr>
        <w:spacing w:after="80"/>
      </w:pPr>
      <w:r>
        <w:rPr>
          <w:b w:val="0"/>
          <w:color w:val="1C2420"/>
          <w:sz w:val="21"/>
        </w:rPr>
        <w:t>Spatial data sits with KSRSAC/SSLR; records sit with Revenue and Stamps &amp; Registration; master plans with the development authorities. Start with KSRSAC (primary).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2E7D6F"/>
          </w:tcPr>
          <w:p>
            <w:r>
              <w:rPr>
                <w:b/>
                <w:color w:val="FFFFFF"/>
                <w:sz w:val="19"/>
              </w:rPr>
              <w:t>Organisation</w:t>
            </w:r>
          </w:p>
        </w:tc>
        <w:tc>
          <w:tcPr>
            <w:tcW w:type="dxa" w:w="2880"/>
            <w:shd w:val="clear" w:fill="2E7D6F"/>
          </w:tcPr>
          <w:p>
            <w:r>
              <w:rPr>
                <w:b/>
                <w:color w:val="FFFFFF"/>
                <w:sz w:val="19"/>
              </w:rPr>
              <w:t>What they hold</w:t>
            </w:r>
          </w:p>
        </w:tc>
        <w:tc>
          <w:tcPr>
            <w:tcW w:type="dxa" w:w="2880"/>
            <w:shd w:val="clear" w:fill="2E7D6F"/>
          </w:tcPr>
          <w:p>
            <w:r>
              <w:rPr>
                <w:b/>
                <w:color w:val="FFFFFF"/>
                <w:sz w:val="19"/>
              </w:rPr>
              <w:t>Route / contact</w:t>
            </w:r>
          </w:p>
        </w:tc>
      </w:tr>
      <w:tr>
        <w:tc>
          <w:tcPr>
            <w:tcW w:type="dxa" w:w="2880"/>
          </w:tcPr>
          <w:p>
            <w:r>
              <w:rPr>
                <w:color w:val="1C2420"/>
                <w:sz w:val="18"/>
              </w:rPr>
              <w:t>KSRSAC (primary)</w:t>
            </w:r>
          </w:p>
        </w:tc>
        <w:tc>
          <w:tcPr>
            <w:tcW w:type="dxa" w:w="2880"/>
          </w:tcPr>
          <w:p>
            <w:r>
              <w:rPr>
                <w:color w:val="1C2420"/>
                <w:sz w:val="18"/>
              </w:rPr>
              <w:t>K-GIS spatial data: survey/hissa geometry, zonation, WMS/WFS, satellite layers</w:t>
            </w:r>
          </w:p>
        </w:tc>
        <w:tc>
          <w:tcPr>
            <w:tcW w:type="dxa" w:w="2880"/>
          </w:tcPr>
          <w:p>
            <w:r>
              <w:rPr>
                <w:color w:val="1C2420"/>
                <w:sz w:val="18"/>
              </w:rPr>
              <w:t>Email kgissupport@ksrsac.in + formal letter to the Director/CEO, KSRSAC, DPAR (e-Governance), GoK, Doddabettahalli, Bengaluru-560097</w:t>
            </w:r>
          </w:p>
        </w:tc>
      </w:tr>
      <w:tr>
        <w:tc>
          <w:tcPr>
            <w:tcW w:type="dxa" w:w="2880"/>
            <w:shd w:val="clear" w:fill="F4F8F7"/>
          </w:tcPr>
          <w:p>
            <w:r>
              <w:rPr>
                <w:color w:val="1C2420"/>
                <w:sz w:val="18"/>
              </w:rPr>
              <w:t>SSLR (Survey, Settlement &amp; Land Records)</w:t>
            </w:r>
          </w:p>
        </w:tc>
        <w:tc>
          <w:tcPr>
            <w:tcW w:type="dxa" w:w="2880"/>
            <w:shd w:val="clear" w:fill="F4F8F7"/>
          </w:tcPr>
          <w:p>
            <w:r>
              <w:rPr>
                <w:color w:val="1C2420"/>
                <w:sz w:val="18"/>
              </w:rPr>
              <w:t>Original survey maps, Tippani/Phodi, Hissa creation history</w:t>
            </w:r>
          </w:p>
        </w:tc>
        <w:tc>
          <w:tcPr>
            <w:tcW w:type="dxa" w:w="2880"/>
            <w:shd w:val="clear" w:fill="F4F8F7"/>
          </w:tcPr>
          <w:p>
            <w:r>
              <w:rPr>
                <w:color w:val="1C2420"/>
                <w:sz w:val="18"/>
              </w:rPr>
              <w:t>Commissioner, SSLR Department, Revenue Dept, GoK</w:t>
            </w:r>
          </w:p>
        </w:tc>
      </w:tr>
      <w:tr>
        <w:tc>
          <w:tcPr>
            <w:tcW w:type="dxa" w:w="2880"/>
          </w:tcPr>
          <w:p>
            <w:r>
              <w:rPr>
                <w:color w:val="1C2420"/>
                <w:sz w:val="18"/>
              </w:rPr>
              <w:t>Revenue Dept / Bhoomi</w:t>
            </w:r>
          </w:p>
        </w:tc>
        <w:tc>
          <w:tcPr>
            <w:tcW w:type="dxa" w:w="2880"/>
          </w:tcPr>
          <w:p>
            <w:r>
              <w:rPr>
                <w:color w:val="1C2420"/>
                <w:sz w:val="18"/>
              </w:rPr>
              <w:t>RTC / Pahani, mutation records</w:t>
            </w:r>
          </w:p>
        </w:tc>
        <w:tc>
          <w:tcPr>
            <w:tcW w:type="dxa" w:w="2880"/>
          </w:tcPr>
          <w:p>
            <w:r>
              <w:rPr>
                <w:color w:val="1C2420"/>
                <w:sz w:val="18"/>
              </w:rPr>
              <w:t>Bhoomi Monitoring Cell, Revenue Department, GoK</w:t>
            </w:r>
          </w:p>
        </w:tc>
      </w:tr>
      <w:tr>
        <w:tc>
          <w:tcPr>
            <w:tcW w:type="dxa" w:w="2880"/>
            <w:shd w:val="clear" w:fill="F4F8F7"/>
          </w:tcPr>
          <w:p>
            <w:r>
              <w:rPr>
                <w:color w:val="1C2420"/>
                <w:sz w:val="18"/>
              </w:rPr>
              <w:t>Stamps &amp; Registration / Kaveri</w:t>
            </w:r>
          </w:p>
        </w:tc>
        <w:tc>
          <w:tcPr>
            <w:tcW w:type="dxa" w:w="2880"/>
            <w:shd w:val="clear" w:fill="F4F8F7"/>
          </w:tcPr>
          <w:p>
            <w:r>
              <w:rPr>
                <w:color w:val="1C2420"/>
                <w:sz w:val="18"/>
              </w:rPr>
              <w:t>Encumbrance certificates, registered deeds, market value</w:t>
            </w:r>
          </w:p>
        </w:tc>
        <w:tc>
          <w:tcPr>
            <w:tcW w:type="dxa" w:w="2880"/>
            <w:shd w:val="clear" w:fill="F4F8F7"/>
          </w:tcPr>
          <w:p>
            <w:r>
              <w:rPr>
                <w:color w:val="1C2420"/>
                <w:sz w:val="18"/>
              </w:rPr>
              <w:t>Inspector General of Registration (IGR), Dept of Stamps &amp; Registration</w:t>
            </w:r>
          </w:p>
        </w:tc>
      </w:tr>
      <w:tr>
        <w:tc>
          <w:tcPr>
            <w:tcW w:type="dxa" w:w="2880"/>
          </w:tcPr>
          <w:p>
            <w:r>
              <w:rPr>
                <w:color w:val="1C2420"/>
                <w:sz w:val="18"/>
              </w:rPr>
              <w:t>BDA / BMRDA</w:t>
            </w:r>
          </w:p>
        </w:tc>
        <w:tc>
          <w:tcPr>
            <w:tcW w:type="dxa" w:w="2880"/>
          </w:tcPr>
          <w:p>
            <w:r>
              <w:rPr>
                <w:color w:val="1C2420"/>
                <w:sz w:val="18"/>
              </w:rPr>
              <w:t>Master Plan / RMP, land-use zoning, road &amp; reservation lands</w:t>
            </w:r>
          </w:p>
        </w:tc>
        <w:tc>
          <w:tcPr>
            <w:tcW w:type="dxa" w:w="2880"/>
          </w:tcPr>
          <w:p>
            <w:r>
              <w:rPr>
                <w:color w:val="1C2420"/>
                <w:sz w:val="18"/>
              </w:rPr>
              <w:t>Planning wing, Bangalore Development Authority / BMRDA</w:t>
            </w:r>
          </w:p>
        </w:tc>
      </w:tr>
      <w:tr>
        <w:tc>
          <w:tcPr>
            <w:tcW w:type="dxa" w:w="2880"/>
            <w:shd w:val="clear" w:fill="F4F8F7"/>
          </w:tcPr>
          <w:p>
            <w:r>
              <w:rPr>
                <w:color w:val="1C2420"/>
                <w:sz w:val="18"/>
              </w:rPr>
              <w:t>Startup Karnataka / KDEM (lever)</w:t>
            </w:r>
          </w:p>
        </w:tc>
        <w:tc>
          <w:tcPr>
            <w:tcW w:type="dxa" w:w="2880"/>
            <w:shd w:val="clear" w:fill="F4F8F7"/>
          </w:tcPr>
          <w:p>
            <w:r>
              <w:rPr>
                <w:color w:val="1C2420"/>
                <w:sz w:val="18"/>
              </w:rPr>
              <w:t>Govt-startup engagement, warm intros, credibility, possible policy benefits</w:t>
            </w:r>
          </w:p>
        </w:tc>
        <w:tc>
          <w:tcPr>
            <w:tcW w:type="dxa" w:w="2880"/>
            <w:shd w:val="clear" w:fill="F4F8F7"/>
          </w:tcPr>
          <w:p>
            <w:r>
              <w:rPr>
                <w:color w:val="1C2420"/>
                <w:sz w:val="18"/>
              </w:rPr>
              <w:t>Karnataka Innovation &amp; Technology Society (KITS) / Karnataka Digital Economy Mission</w:t>
            </w:r>
          </w:p>
        </w:tc>
      </w:tr>
    </w:tbl>
    <w:p>
      <w:pPr>
        <w:spacing w:after="40"/>
      </w:pPr>
    </w:p>
    <w:p>
      <w:pPr>
        <w:spacing w:after="80"/>
      </w:pPr>
      <w:r>
        <w:rPr>
          <w:b w:val="0"/>
          <w:color w:val="1C2420"/>
          <w:sz w:val="21"/>
        </w:rPr>
        <w:t>Accelerator lever: K-GIS is built for government departments. A sponsoring department, or engagement via Startup Karnataka / KDEM, can shorten access and add credibility to the request.</w:t>
      </w:r>
    </w:p>
    <w:p>
      <w:pPr>
        <w:spacing w:before="320" w:after="80"/>
        <w:pBdr>
          <w:bottom w:val="single" w:sz="6" w:space="2" w:color="2E7D6F"/>
        </w:pBdr>
      </w:pPr>
      <w:r>
        <w:rPr>
          <w:b/>
          <w:color w:val="2E7D6F"/>
          <w:sz w:val="32"/>
        </w:rPr>
        <w:t>5. Licensing Mechanism</w:t>
      </w:r>
    </w:p>
    <w:p>
      <w:pPr>
        <w:pStyle w:val="ListBullet"/>
        <w:spacing w:after="20"/>
      </w:pPr>
      <w:r>
        <w:rPr>
          <w:color w:val="1C2420"/>
          <w:sz w:val="21"/>
        </w:rPr>
        <w:t>Governing framework: KSRSAC data-sharing policy (aligned to NDSAP — National Data Sharing &amp; Accessibility Policy).</w:t>
      </w:r>
    </w:p>
    <w:p>
      <w:pPr>
        <w:pStyle w:val="ListBullet"/>
        <w:spacing w:after="20"/>
      </w:pPr>
      <w:r>
        <w:rPr>
          <w:color w:val="1C2420"/>
          <w:sz w:val="21"/>
        </w:rPr>
        <w:t>Instrument: a data-sharing agreement / MoU between the company and KSRSAC; non-government / commercial users sign and pay.</w:t>
      </w:r>
    </w:p>
    <w:p>
      <w:pPr>
        <w:pStyle w:val="ListBullet"/>
        <w:spacing w:after="20"/>
      </w:pPr>
      <w:r>
        <w:rPr>
          <w:color w:val="1C2420"/>
          <w:sz w:val="21"/>
        </w:rPr>
        <w:t>Pricing: committee-set, per-layer / per-area, quoted on request — NOT published online. (“Data not in portal → contact KSRSAC to determine access terms.”)</w:t>
      </w:r>
    </w:p>
    <w:p>
      <w:pPr>
        <w:pStyle w:val="ListBullet"/>
        <w:spacing w:after="20"/>
      </w:pPr>
      <w:r>
        <w:rPr>
          <w:color w:val="1C2420"/>
          <w:sz w:val="21"/>
        </w:rPr>
        <w:t>Access form: Web API keys + WMS/WFS endpoints, and/or bulk export (Shape/KML), per the agreement scope.</w:t>
      </w:r>
    </w:p>
    <w:p>
      <w:pPr>
        <w:spacing w:before="320" w:after="80"/>
        <w:pBdr>
          <w:bottom w:val="single" w:sz="6" w:space="2" w:color="2E7D6F"/>
        </w:pBdr>
      </w:pPr>
      <w:r>
        <w:rPr>
          <w:b/>
          <w:color w:val="2E7D6F"/>
          <w:sz w:val="32"/>
        </w:rPr>
        <w:t>6. Document Bundle to Prepare</w:t>
      </w:r>
    </w:p>
    <w:p>
      <w:pPr>
        <w:pStyle w:val="ListBullet"/>
        <w:spacing w:after="20"/>
      </w:pPr>
      <w:r>
        <w:rPr>
          <w:color w:val="1C2420"/>
          <w:sz w:val="21"/>
        </w:rPr>
        <w:t>Company registration / incorporation documents (entity that will hold the license).</w:t>
      </w:r>
    </w:p>
    <w:p>
      <w:pPr>
        <w:pStyle w:val="ListBullet"/>
        <w:spacing w:after="20"/>
      </w:pPr>
      <w:r>
        <w:rPr>
          <w:color w:val="1C2420"/>
          <w:sz w:val="21"/>
        </w:rPr>
        <w:t>Use-case note: what the product does, who uses it, how K-GIS data is displayed (1–2 pages).</w:t>
      </w:r>
    </w:p>
    <w:p>
      <w:pPr>
        <w:pStyle w:val="ListBullet"/>
        <w:spacing w:after="20"/>
      </w:pPr>
      <w:r>
        <w:rPr>
          <w:color w:val="1C2420"/>
          <w:sz w:val="21"/>
        </w:rPr>
        <w:t>Scope sheet: exact layers/services (geomForSurveyNum, zonation, WMS/WFS), coverage (Karnataka), access mode (API vs bulk), refresh frequency, expected request volume.</w:t>
      </w:r>
    </w:p>
    <w:p>
      <w:pPr>
        <w:pStyle w:val="ListBullet"/>
        <w:spacing w:after="20"/>
      </w:pPr>
      <w:r>
        <w:rPr>
          <w:color w:val="1C2420"/>
          <w:sz w:val="21"/>
        </w:rPr>
        <w:t>Undertaking: non-misuse, no redistribution of raw data, attribution, and “not for legal purpose” acknowledgement.</w:t>
      </w:r>
    </w:p>
    <w:p>
      <w:pPr>
        <w:pStyle w:val="ListBullet"/>
        <w:spacing w:after="20"/>
      </w:pPr>
      <w:r>
        <w:rPr>
          <w:color w:val="1C2420"/>
          <w:sz w:val="21"/>
        </w:rPr>
        <w:t>Point of contact + authorised signatory details.</w:t>
      </w:r>
    </w:p>
    <w:p>
      <w:pPr>
        <w:spacing w:before="320" w:after="80"/>
        <w:pBdr>
          <w:bottom w:val="single" w:sz="6" w:space="2" w:color="2E7D6F"/>
        </w:pBdr>
      </w:pPr>
      <w:r>
        <w:rPr>
          <w:b/>
          <w:color w:val="2E7D6F"/>
          <w:sz w:val="32"/>
        </w:rPr>
        <w:t>7. Step-by-Step Next Steps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fill="2E7D6F"/>
          </w:tcPr>
          <w:p>
            <w:r>
              <w:rPr>
                <w:b/>
                <w:color w:val="FFFFFF"/>
                <w:sz w:val="19"/>
              </w:rPr>
              <w:t>#</w:t>
            </w:r>
          </w:p>
        </w:tc>
        <w:tc>
          <w:tcPr>
            <w:tcW w:type="dxa" w:w="2160"/>
            <w:shd w:val="clear" w:fill="2E7D6F"/>
          </w:tcPr>
          <w:p>
            <w:r>
              <w:rPr>
                <w:b/>
                <w:color w:val="FFFFFF"/>
                <w:sz w:val="19"/>
              </w:rPr>
              <w:t>Action</w:t>
            </w:r>
          </w:p>
        </w:tc>
        <w:tc>
          <w:tcPr>
            <w:tcW w:type="dxa" w:w="2160"/>
            <w:shd w:val="clear" w:fill="2E7D6F"/>
          </w:tcPr>
          <w:p>
            <w:r>
              <w:rPr>
                <w:b/>
                <w:color w:val="FFFFFF"/>
                <w:sz w:val="19"/>
              </w:rPr>
              <w:t>Owner</w:t>
            </w:r>
          </w:p>
        </w:tc>
        <w:tc>
          <w:tcPr>
            <w:tcW w:type="dxa" w:w="2160"/>
            <w:shd w:val="clear" w:fill="2E7D6F"/>
          </w:tcPr>
          <w:p>
            <w:r>
              <w:rPr>
                <w:b/>
                <w:color w:val="FFFFFF"/>
                <w:sz w:val="19"/>
              </w:rPr>
              <w:t>Est. timing</w:t>
            </w:r>
          </w:p>
        </w:tc>
      </w:tr>
      <w:tr>
        <w:tc>
          <w:tcPr>
            <w:tcW w:type="dxa" w:w="2160"/>
          </w:tcPr>
          <w:p>
            <w:r>
              <w:rPr>
                <w:color w:val="1C2420"/>
                <w:sz w:val="18"/>
              </w:rPr>
              <w:t>1</w:t>
            </w:r>
          </w:p>
        </w:tc>
        <w:tc>
          <w:tcPr>
            <w:tcW w:type="dxa" w:w="2160"/>
          </w:tcPr>
          <w:p>
            <w:r>
              <w:rPr>
                <w:color w:val="1C2420"/>
                <w:sz w:val="18"/>
              </w:rPr>
              <w:t>Finalise data scope (layers, area, API vs bulk, volume)</w:t>
            </w:r>
          </w:p>
        </w:tc>
        <w:tc>
          <w:tcPr>
            <w:tcW w:type="dxa" w:w="2160"/>
          </w:tcPr>
          <w:p>
            <w:r>
              <w:rPr>
                <w:color w:val="1C2420"/>
                <w:sz w:val="18"/>
              </w:rPr>
              <w:t>Product lead</w:t>
            </w:r>
          </w:p>
        </w:tc>
        <w:tc>
          <w:tcPr>
            <w:tcW w:type="dxa" w:w="2160"/>
          </w:tcPr>
          <w:p>
            <w:r>
              <w:rPr>
                <w:color w:val="1C2420"/>
                <w:sz w:val="18"/>
              </w:rPr>
              <w:t>Days 1–3</w:t>
            </w:r>
          </w:p>
        </w:tc>
      </w:tr>
      <w:tr>
        <w:tc>
          <w:tcPr>
            <w:tcW w:type="dxa" w:w="2160"/>
            <w:shd w:val="clear" w:fill="F4F8F7"/>
          </w:tcPr>
          <w:p>
            <w:r>
              <w:rPr>
                <w:color w:val="1C2420"/>
                <w:sz w:val="18"/>
              </w:rPr>
              <w:t>2</w:t>
            </w:r>
          </w:p>
        </w:tc>
        <w:tc>
          <w:tcPr>
            <w:tcW w:type="dxa" w:w="2160"/>
            <w:shd w:val="clear" w:fill="F4F8F7"/>
          </w:tcPr>
          <w:p>
            <w:r>
              <w:rPr>
                <w:color w:val="1C2420"/>
                <w:sz w:val="18"/>
              </w:rPr>
              <w:t>Assemble document bundle (§6)</w:t>
            </w:r>
          </w:p>
        </w:tc>
        <w:tc>
          <w:tcPr>
            <w:tcW w:type="dxa" w:w="2160"/>
            <w:shd w:val="clear" w:fill="F4F8F7"/>
          </w:tcPr>
          <w:p>
            <w:r>
              <w:rPr>
                <w:color w:val="1C2420"/>
                <w:sz w:val="18"/>
              </w:rPr>
              <w:t>Founder + legal</w:t>
            </w:r>
          </w:p>
        </w:tc>
        <w:tc>
          <w:tcPr>
            <w:tcW w:type="dxa" w:w="2160"/>
            <w:shd w:val="clear" w:fill="F4F8F7"/>
          </w:tcPr>
          <w:p>
            <w:r>
              <w:rPr>
                <w:color w:val="1C2420"/>
                <w:sz w:val="18"/>
              </w:rPr>
              <w:t>Week 1</w:t>
            </w:r>
          </w:p>
        </w:tc>
      </w:tr>
      <w:tr>
        <w:tc>
          <w:tcPr>
            <w:tcW w:type="dxa" w:w="2160"/>
          </w:tcPr>
          <w:p>
            <w:r>
              <w:rPr>
                <w:color w:val="1C2420"/>
                <w:sz w:val="18"/>
              </w:rPr>
              <w:t>3</w:t>
            </w:r>
          </w:p>
        </w:tc>
        <w:tc>
          <w:tcPr>
            <w:tcW w:type="dxa" w:w="2160"/>
          </w:tcPr>
          <w:p>
            <w:r>
              <w:rPr>
                <w:color w:val="1C2420"/>
                <w:sz w:val="18"/>
              </w:rPr>
              <w:t>Send formal request to KSRSAC (email + signed letter)</w:t>
            </w:r>
          </w:p>
        </w:tc>
        <w:tc>
          <w:tcPr>
            <w:tcW w:type="dxa" w:w="2160"/>
          </w:tcPr>
          <w:p>
            <w:r>
              <w:rPr>
                <w:color w:val="1C2420"/>
                <w:sz w:val="18"/>
              </w:rPr>
              <w:t>Founder</w:t>
            </w:r>
          </w:p>
        </w:tc>
        <w:tc>
          <w:tcPr>
            <w:tcW w:type="dxa" w:w="2160"/>
          </w:tcPr>
          <w:p>
            <w:r>
              <w:rPr>
                <w:color w:val="1C2420"/>
                <w:sz w:val="18"/>
              </w:rPr>
              <w:t>Week 1 (Day 0 of external clock)</w:t>
            </w:r>
          </w:p>
        </w:tc>
      </w:tr>
      <w:tr>
        <w:tc>
          <w:tcPr>
            <w:tcW w:type="dxa" w:w="2160"/>
            <w:shd w:val="clear" w:fill="F4F8F7"/>
          </w:tcPr>
          <w:p>
            <w:r>
              <w:rPr>
                <w:color w:val="1C2420"/>
                <w:sz w:val="18"/>
              </w:rPr>
              <w:t>4</w:t>
            </w:r>
          </w:p>
        </w:tc>
        <w:tc>
          <w:tcPr>
            <w:tcW w:type="dxa" w:w="2160"/>
            <w:shd w:val="clear" w:fill="F4F8F7"/>
          </w:tcPr>
          <w:p>
            <w:r>
              <w:rPr>
                <w:color w:val="1C2420"/>
                <w:sz w:val="18"/>
              </w:rPr>
              <w:t>Open Startup Karnataka / KDEM engagement for warm intro</w:t>
            </w:r>
          </w:p>
        </w:tc>
        <w:tc>
          <w:tcPr>
            <w:tcW w:type="dxa" w:w="2160"/>
            <w:shd w:val="clear" w:fill="F4F8F7"/>
          </w:tcPr>
          <w:p>
            <w:r>
              <w:rPr>
                <w:color w:val="1C2420"/>
                <w:sz w:val="18"/>
              </w:rPr>
              <w:t>Founder</w:t>
            </w:r>
          </w:p>
        </w:tc>
        <w:tc>
          <w:tcPr>
            <w:tcW w:type="dxa" w:w="2160"/>
            <w:shd w:val="clear" w:fill="F4F8F7"/>
          </w:tcPr>
          <w:p>
            <w:r>
              <w:rPr>
                <w:color w:val="1C2420"/>
                <w:sz w:val="18"/>
              </w:rPr>
              <w:t>Weeks 1–2 (parallel)</w:t>
            </w:r>
          </w:p>
        </w:tc>
      </w:tr>
      <w:tr>
        <w:tc>
          <w:tcPr>
            <w:tcW w:type="dxa" w:w="2160"/>
          </w:tcPr>
          <w:p>
            <w:r>
              <w:rPr>
                <w:color w:val="1C2420"/>
                <w:sz w:val="18"/>
              </w:rPr>
              <w:t>5</w:t>
            </w:r>
          </w:p>
        </w:tc>
        <w:tc>
          <w:tcPr>
            <w:tcW w:type="dxa" w:w="2160"/>
          </w:tcPr>
          <w:p>
            <w:r>
              <w:rPr>
                <w:color w:val="1C2420"/>
                <w:sz w:val="18"/>
              </w:rPr>
              <w:t>KSRSAC review + data-sharing committee → pricing quote</w:t>
            </w:r>
          </w:p>
        </w:tc>
        <w:tc>
          <w:tcPr>
            <w:tcW w:type="dxa" w:w="2160"/>
          </w:tcPr>
          <w:p>
            <w:r>
              <w:rPr>
                <w:color w:val="1C2420"/>
                <w:sz w:val="18"/>
              </w:rPr>
              <w:t>KSRSAC</w:t>
            </w:r>
          </w:p>
        </w:tc>
        <w:tc>
          <w:tcPr>
            <w:tcW w:type="dxa" w:w="2160"/>
          </w:tcPr>
          <w:p>
            <w:r>
              <w:rPr>
                <w:color w:val="1C2420"/>
                <w:sz w:val="18"/>
              </w:rPr>
              <w:t>Weeks 2–6</w:t>
            </w:r>
          </w:p>
        </w:tc>
      </w:tr>
      <w:tr>
        <w:tc>
          <w:tcPr>
            <w:tcW w:type="dxa" w:w="2160"/>
            <w:shd w:val="clear" w:fill="F4F8F7"/>
          </w:tcPr>
          <w:p>
            <w:r>
              <w:rPr>
                <w:color w:val="1C2420"/>
                <w:sz w:val="18"/>
              </w:rPr>
              <w:t>6</w:t>
            </w:r>
          </w:p>
        </w:tc>
        <w:tc>
          <w:tcPr>
            <w:tcW w:type="dxa" w:w="2160"/>
            <w:shd w:val="clear" w:fill="F4F8F7"/>
          </w:tcPr>
          <w:p>
            <w:r>
              <w:rPr>
                <w:color w:val="1C2420"/>
                <w:sz w:val="18"/>
              </w:rPr>
              <w:t>Negotiate + sign data-sharing agreement / MoU; pay fee</w:t>
            </w:r>
          </w:p>
        </w:tc>
        <w:tc>
          <w:tcPr>
            <w:tcW w:type="dxa" w:w="2160"/>
            <w:shd w:val="clear" w:fill="F4F8F7"/>
          </w:tcPr>
          <w:p>
            <w:r>
              <w:rPr>
                <w:color w:val="1C2420"/>
                <w:sz w:val="18"/>
              </w:rPr>
              <w:t>Founder + legal</w:t>
            </w:r>
          </w:p>
        </w:tc>
        <w:tc>
          <w:tcPr>
            <w:tcW w:type="dxa" w:w="2160"/>
            <w:shd w:val="clear" w:fill="F4F8F7"/>
          </w:tcPr>
          <w:p>
            <w:r>
              <w:rPr>
                <w:color w:val="1C2420"/>
                <w:sz w:val="18"/>
              </w:rPr>
              <w:t>Weeks 6–10</w:t>
            </w:r>
          </w:p>
        </w:tc>
      </w:tr>
      <w:tr>
        <w:tc>
          <w:tcPr>
            <w:tcW w:type="dxa" w:w="2160"/>
          </w:tcPr>
          <w:p>
            <w:r>
              <w:rPr>
                <w:color w:val="1C2420"/>
                <w:sz w:val="18"/>
              </w:rPr>
              <w:t>7</w:t>
            </w:r>
          </w:p>
        </w:tc>
        <w:tc>
          <w:tcPr>
            <w:tcW w:type="dxa" w:w="2160"/>
          </w:tcPr>
          <w:p>
            <w:r>
              <w:rPr>
                <w:color w:val="1C2420"/>
                <w:sz w:val="18"/>
              </w:rPr>
              <w:t>Receive API keys / WFS endpoints; integrate behind feature flag</w:t>
            </w:r>
          </w:p>
        </w:tc>
        <w:tc>
          <w:tcPr>
            <w:tcW w:type="dxa" w:w="2160"/>
          </w:tcPr>
          <w:p>
            <w:r>
              <w:rPr>
                <w:color w:val="1C2420"/>
                <w:sz w:val="18"/>
              </w:rPr>
              <w:t>Engineering</w:t>
            </w:r>
          </w:p>
        </w:tc>
        <w:tc>
          <w:tcPr>
            <w:tcW w:type="dxa" w:w="2160"/>
          </w:tcPr>
          <w:p>
            <w:r>
              <w:rPr>
                <w:color w:val="1C2420"/>
                <w:sz w:val="18"/>
              </w:rPr>
              <w:t>After signing</w:t>
            </w:r>
          </w:p>
        </w:tc>
      </w:tr>
      <w:tr>
        <w:tc>
          <w:tcPr>
            <w:tcW w:type="dxa" w:w="2160"/>
            <w:shd w:val="clear" w:fill="F4F8F7"/>
          </w:tcPr>
          <w:p>
            <w:r>
              <w:rPr>
                <w:color w:val="1C2420"/>
                <w:sz w:val="18"/>
              </w:rPr>
              <w:t>8</w:t>
            </w:r>
          </w:p>
        </w:tc>
        <w:tc>
          <w:tcPr>
            <w:tcW w:type="dxa" w:w="2160"/>
            <w:shd w:val="clear" w:fill="F4F8F7"/>
          </w:tcPr>
          <w:p>
            <w:r>
              <w:rPr>
                <w:color w:val="1C2420"/>
                <w:sz w:val="18"/>
              </w:rPr>
              <w:t>Separately initiate Bhoomi (Revenue) + Kaveri (S&amp;R) record agreements</w:t>
            </w:r>
          </w:p>
        </w:tc>
        <w:tc>
          <w:tcPr>
            <w:tcW w:type="dxa" w:w="2160"/>
            <w:shd w:val="clear" w:fill="F4F8F7"/>
          </w:tcPr>
          <w:p>
            <w:r>
              <w:rPr>
                <w:color w:val="1C2420"/>
                <w:sz w:val="18"/>
              </w:rPr>
              <w:t>Founder</w:t>
            </w:r>
          </w:p>
        </w:tc>
        <w:tc>
          <w:tcPr>
            <w:tcW w:type="dxa" w:w="2160"/>
            <w:shd w:val="clear" w:fill="F4F8F7"/>
          </w:tcPr>
          <w:p>
            <w:r>
              <w:rPr>
                <w:color w:val="1C2420"/>
                <w:sz w:val="18"/>
              </w:rPr>
              <w:t>Parallel, 3–6 months</w:t>
            </w:r>
          </w:p>
        </w:tc>
      </w:tr>
    </w:tbl>
    <w:p>
      <w:pPr>
        <w:spacing w:after="40"/>
      </w:pPr>
    </w:p>
    <w:p>
      <w:pPr>
        <w:spacing w:before="320" w:after="80"/>
        <w:pBdr>
          <w:bottom w:val="single" w:sz="6" w:space="2" w:color="2E7D6F"/>
        </w:pBdr>
      </w:pPr>
      <w:r>
        <w:rPr>
          <w:b/>
          <w:color w:val="2E7D6F"/>
          <w:sz w:val="32"/>
        </w:rPr>
        <w:t>8. Draft Request Letter / Email (ready to send)</w:t>
      </w:r>
    </w:p>
    <w:p>
      <w:pPr>
        <w:spacing w:after="80"/>
      </w:pPr>
      <w:r>
        <w:rPr>
          <w:b w:val="0"/>
          <w:color w:val="1C2420"/>
          <w:sz w:val="21"/>
        </w:rPr>
        <w:t>Adapt names/figures, attach the bundle from §6, and send to the KSRSAC Director with kgissupport@ksrsac.in in copy.</w:t>
      </w:r>
    </w:p>
    <w:p>
      <w:pPr>
        <w:ind w:left="200"/>
        <w:shd w:val="clear" w:fill="EAF2F1"/>
      </w:pPr>
      <w:r>
        <w:rPr>
          <w:i/>
          <w:color w:val="5A6A66"/>
          <w:sz w:val="21"/>
        </w:rPr>
        <w:t>To: The Director, KSRSAC, DPAR (e-Governance), Government of Karnataka, Doddabettahalli, Bengaluru-560097   |   Cc: kgissupport@ksrsac.in</w:t>
      </w:r>
    </w:p>
    <w:p>
      <w:pPr>
        <w:ind w:left="200"/>
        <w:shd w:val="clear" w:fill="EAF2F1"/>
      </w:pPr>
      <w:r>
        <w:rPr>
          <w:i/>
          <w:color w:val="5A6A66"/>
          <w:sz w:val="21"/>
        </w:rPr>
        <w:t>Subject: Request for a K-GIS data-sharing agreement — Survey/Hissa geometry, zonation and WMS/WFS services (Karnataka)</w:t>
      </w:r>
    </w:p>
    <w:p>
      <w:pPr>
        <w:ind w:left="200"/>
        <w:shd w:val="clear" w:fill="EAF2F1"/>
      </w:pPr>
      <w:r>
        <w:rPr>
          <w:i/>
          <w:color w:val="5A6A66"/>
          <w:sz w:val="21"/>
        </w:rPr>
        <w:t>Respected Sir/Madam,</w:t>
      </w:r>
    </w:p>
    <w:p>
      <w:pPr>
        <w:ind w:left="200"/>
        <w:shd w:val="clear" w:fill="EAF2F1"/>
      </w:pPr>
      <w:r>
        <w:rPr>
          <w:i/>
          <w:color w:val="5A6A66"/>
          <w:sz w:val="21"/>
        </w:rPr>
        <w:t>We are [Company / Qnit], building a site-analysis product that helps architects and builders evaluate land parcels. We wish to license K-GIS spatial data for use within our application and request the applicable data-sharing agreement and terms.</w:t>
      </w:r>
    </w:p>
    <w:p>
      <w:pPr>
        <w:ind w:left="200"/>
        <w:shd w:val="clear" w:fill="EAF2F1"/>
      </w:pPr>
      <w:r>
        <w:rPr>
          <w:i/>
          <w:color w:val="5A6A66"/>
          <w:sz w:val="21"/>
        </w:rPr>
        <w:t>Data requested (Karnataka coverage): (a) Geometric Polygon Area on Survey Number (geomForSurveyNum); (b) Fetching Zonation Data; (c) administrative-hierarchy / village-code services; (d) relevant WMS/WFS layers. Preferred access: Web API + WFS endpoints with periodic refresh; bulk export if required.</w:t>
      </w:r>
    </w:p>
    <w:p>
      <w:pPr>
        <w:ind w:left="200"/>
        <w:shd w:val="clear" w:fill="EAF2F1"/>
      </w:pPr>
      <w:r>
        <w:rPr>
          <w:i/>
          <w:color w:val="5A6A66"/>
          <w:sz w:val="21"/>
        </w:rPr>
        <w:t>Purpose: preliminary site due-diligence and visualisation for our users. We acknowledge that the data is not to be used for any legal purpose, will not be redistributed as raw data, and will be attributed to KSRSAC / K-GIS.</w:t>
      </w:r>
    </w:p>
    <w:p>
      <w:pPr>
        <w:ind w:left="200"/>
        <w:shd w:val="clear" w:fill="EAF2F1"/>
      </w:pPr>
      <w:r>
        <w:rPr>
          <w:i/>
          <w:color w:val="5A6A66"/>
          <w:sz w:val="21"/>
        </w:rPr>
        <w:t>Request: please share the applicable data-sharing policy, the agreement / MoU format, commercial-use terms, and the pricing for the above scope. We are prepared to execute the agreement and remit the applicable fees. Company registration, use-case note and scope sheet are enclosed.</w:t>
      </w:r>
    </w:p>
    <w:p>
      <w:pPr>
        <w:ind w:left="200"/>
        <w:shd w:val="clear" w:fill="EAF2F1"/>
      </w:pPr>
      <w:r>
        <w:rPr>
          <w:i/>
          <w:color w:val="5A6A66"/>
          <w:sz w:val="21"/>
        </w:rPr>
        <w:t>Regards, [Name] · [Title] · [Company] · [Phone] · [Email]</w:t>
      </w:r>
    </w:p>
    <w:p>
      <w:pPr>
        <w:spacing w:before="320" w:after="80"/>
        <w:pBdr>
          <w:bottom w:val="single" w:sz="6" w:space="2" w:color="2E7D6F"/>
        </w:pBdr>
      </w:pPr>
      <w:r>
        <w:rPr>
          <w:b/>
          <w:color w:val="2E7D6F"/>
          <w:sz w:val="32"/>
        </w:rPr>
        <w:t>9. Timeline &amp; Milestones</w:t>
      </w:r>
    </w:p>
    <w:p>
      <w:pPr>
        <w:spacing w:after="80"/>
      </w:pPr>
      <w:r>
        <w:rPr>
          <w:b w:val="0"/>
          <w:color w:val="1C2420"/>
          <w:sz w:val="21"/>
        </w:rPr>
        <w:t>Indicative only — government procurement timelines vary. Plan the commercial launch so it does not hard-block on this.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fill="2E7D6F"/>
          </w:tcPr>
          <w:p>
            <w:r>
              <w:rPr>
                <w:b/>
                <w:color w:val="FFFFFF"/>
                <w:sz w:val="19"/>
              </w:rPr>
              <w:t>Phase</w:t>
            </w:r>
          </w:p>
        </w:tc>
        <w:tc>
          <w:tcPr>
            <w:tcW w:type="dxa" w:w="2880"/>
            <w:shd w:val="clear" w:fill="2E7D6F"/>
          </w:tcPr>
          <w:p>
            <w:r>
              <w:rPr>
                <w:b/>
                <w:color w:val="FFFFFF"/>
                <w:sz w:val="19"/>
              </w:rPr>
              <w:t>Activity</w:t>
            </w:r>
          </w:p>
        </w:tc>
        <w:tc>
          <w:tcPr>
            <w:tcW w:type="dxa" w:w="2880"/>
            <w:shd w:val="clear" w:fill="2E7D6F"/>
          </w:tcPr>
          <w:p>
            <w:r>
              <w:rPr>
                <w:b/>
                <w:color w:val="FFFFFF"/>
                <w:sz w:val="19"/>
              </w:rPr>
              <w:t>Indicative window</w:t>
            </w:r>
          </w:p>
        </w:tc>
      </w:tr>
      <w:tr>
        <w:tc>
          <w:tcPr>
            <w:tcW w:type="dxa" w:w="2880"/>
          </w:tcPr>
          <w:p>
            <w:r>
              <w:rPr>
                <w:color w:val="1C2420"/>
                <w:sz w:val="18"/>
              </w:rPr>
              <w:t>Prep</w:t>
            </w:r>
          </w:p>
        </w:tc>
        <w:tc>
          <w:tcPr>
            <w:tcW w:type="dxa" w:w="2880"/>
          </w:tcPr>
          <w:p>
            <w:r>
              <w:rPr>
                <w:color w:val="1C2420"/>
                <w:sz w:val="18"/>
              </w:rPr>
              <w:t>Scope + document bundle</w:t>
            </w:r>
          </w:p>
        </w:tc>
        <w:tc>
          <w:tcPr>
            <w:tcW w:type="dxa" w:w="2880"/>
          </w:tcPr>
          <w:p>
            <w:r>
              <w:rPr>
                <w:color w:val="1C2420"/>
                <w:sz w:val="18"/>
              </w:rPr>
              <w:t>Week 0–1</w:t>
            </w:r>
          </w:p>
        </w:tc>
      </w:tr>
      <w:tr>
        <w:tc>
          <w:tcPr>
            <w:tcW w:type="dxa" w:w="2880"/>
            <w:shd w:val="clear" w:fill="F4F8F7"/>
          </w:tcPr>
          <w:p>
            <w:r>
              <w:rPr>
                <w:color w:val="1C2420"/>
                <w:sz w:val="18"/>
              </w:rPr>
              <w:t>Submit</w:t>
            </w:r>
          </w:p>
        </w:tc>
        <w:tc>
          <w:tcPr>
            <w:tcW w:type="dxa" w:w="2880"/>
            <w:shd w:val="clear" w:fill="F4F8F7"/>
          </w:tcPr>
          <w:p>
            <w:r>
              <w:rPr>
                <w:color w:val="1C2420"/>
                <w:sz w:val="18"/>
              </w:rPr>
              <w:t>Formal request to KSRSAC + KDEM lever</w:t>
            </w:r>
          </w:p>
        </w:tc>
        <w:tc>
          <w:tcPr>
            <w:tcW w:type="dxa" w:w="2880"/>
            <w:shd w:val="clear" w:fill="F4F8F7"/>
          </w:tcPr>
          <w:p>
            <w:r>
              <w:rPr>
                <w:color w:val="1C2420"/>
                <w:sz w:val="18"/>
              </w:rPr>
              <w:t>Week 1</w:t>
            </w:r>
          </w:p>
        </w:tc>
      </w:tr>
      <w:tr>
        <w:tc>
          <w:tcPr>
            <w:tcW w:type="dxa" w:w="2880"/>
          </w:tcPr>
          <w:p>
            <w:r>
              <w:rPr>
                <w:color w:val="1C2420"/>
                <w:sz w:val="18"/>
              </w:rPr>
              <w:t>Review</w:t>
            </w:r>
          </w:p>
        </w:tc>
        <w:tc>
          <w:tcPr>
            <w:tcW w:type="dxa" w:w="2880"/>
          </w:tcPr>
          <w:p>
            <w:r>
              <w:rPr>
                <w:color w:val="1C2420"/>
                <w:sz w:val="18"/>
              </w:rPr>
              <w:t>KSRSAC committee review + pricing quote</w:t>
            </w:r>
          </w:p>
        </w:tc>
        <w:tc>
          <w:tcPr>
            <w:tcW w:type="dxa" w:w="2880"/>
          </w:tcPr>
          <w:p>
            <w:r>
              <w:rPr>
                <w:color w:val="1C2420"/>
                <w:sz w:val="18"/>
              </w:rPr>
              <w:t>Week 2–6</w:t>
            </w:r>
          </w:p>
        </w:tc>
      </w:tr>
      <w:tr>
        <w:tc>
          <w:tcPr>
            <w:tcW w:type="dxa" w:w="2880"/>
            <w:shd w:val="clear" w:fill="F4F8F7"/>
          </w:tcPr>
          <w:p>
            <w:r>
              <w:rPr>
                <w:color w:val="1C2420"/>
                <w:sz w:val="18"/>
              </w:rPr>
              <w:t>Execute</w:t>
            </w:r>
          </w:p>
        </w:tc>
        <w:tc>
          <w:tcPr>
            <w:tcW w:type="dxa" w:w="2880"/>
            <w:shd w:val="clear" w:fill="F4F8F7"/>
          </w:tcPr>
          <w:p>
            <w:r>
              <w:rPr>
                <w:color w:val="1C2420"/>
                <w:sz w:val="18"/>
              </w:rPr>
              <w:t>Negotiate, sign MoU, pay, receive access</w:t>
            </w:r>
          </w:p>
        </w:tc>
        <w:tc>
          <w:tcPr>
            <w:tcW w:type="dxa" w:w="2880"/>
            <w:shd w:val="clear" w:fill="F4F8F7"/>
          </w:tcPr>
          <w:p>
            <w:r>
              <w:rPr>
                <w:color w:val="1C2420"/>
                <w:sz w:val="18"/>
              </w:rPr>
              <w:t>Week 6–10</w:t>
            </w:r>
          </w:p>
        </w:tc>
      </w:tr>
      <w:tr>
        <w:tc>
          <w:tcPr>
            <w:tcW w:type="dxa" w:w="2880"/>
          </w:tcPr>
          <w:p>
            <w:r>
              <w:rPr>
                <w:color w:val="1C2420"/>
                <w:sz w:val="18"/>
              </w:rPr>
              <w:t>Integrate</w:t>
            </w:r>
          </w:p>
        </w:tc>
        <w:tc>
          <w:tcPr>
            <w:tcW w:type="dxa" w:w="2880"/>
          </w:tcPr>
          <w:p>
            <w:r>
              <w:rPr>
                <w:color w:val="1C2420"/>
                <w:sz w:val="18"/>
              </w:rPr>
              <w:t>Wire API/WFS behind feature flag</w:t>
            </w:r>
          </w:p>
        </w:tc>
        <w:tc>
          <w:tcPr>
            <w:tcW w:type="dxa" w:w="2880"/>
          </w:tcPr>
          <w:p>
            <w:r>
              <w:rPr>
                <w:color w:val="1C2420"/>
                <w:sz w:val="18"/>
              </w:rPr>
              <w:t>Week 10+</w:t>
            </w:r>
          </w:p>
        </w:tc>
      </w:tr>
      <w:tr>
        <w:tc>
          <w:tcPr>
            <w:tcW w:type="dxa" w:w="2880"/>
            <w:shd w:val="clear" w:fill="F4F8F7"/>
          </w:tcPr>
          <w:p>
            <w:r>
              <w:rPr>
                <w:color w:val="1C2420"/>
                <w:sz w:val="18"/>
              </w:rPr>
              <w:t>Records</w:t>
            </w:r>
          </w:p>
        </w:tc>
        <w:tc>
          <w:tcPr>
            <w:tcW w:type="dxa" w:w="2880"/>
            <w:shd w:val="clear" w:fill="F4F8F7"/>
          </w:tcPr>
          <w:p>
            <w:r>
              <w:rPr>
                <w:color w:val="1C2420"/>
                <w:sz w:val="18"/>
              </w:rPr>
              <w:t>Bhoomi + Kaveri agreements (separate)</w:t>
            </w:r>
          </w:p>
        </w:tc>
        <w:tc>
          <w:tcPr>
            <w:tcW w:type="dxa" w:w="2880"/>
            <w:shd w:val="clear" w:fill="F4F8F7"/>
          </w:tcPr>
          <w:p>
            <w:r>
              <w:rPr>
                <w:color w:val="1C2420"/>
                <w:sz w:val="18"/>
              </w:rPr>
              <w:t>3–6 months, parallel</w:t>
            </w:r>
          </w:p>
        </w:tc>
      </w:tr>
    </w:tbl>
    <w:p>
      <w:pPr>
        <w:spacing w:after="40"/>
      </w:pPr>
    </w:p>
    <w:p>
      <w:pPr>
        <w:spacing w:before="320" w:after="80"/>
        <w:pBdr>
          <w:bottom w:val="single" w:sz="6" w:space="2" w:color="2E7D6F"/>
        </w:pBdr>
      </w:pPr>
      <w:r>
        <w:rPr>
          <w:b/>
          <w:color w:val="2E7D6F"/>
          <w:sz w:val="32"/>
        </w:rPr>
        <w:t>10. Risks &amp; Mitigations</w:t>
      </w:r>
    </w:p>
    <w:tbl>
      <w:tblPr>
        <w:tblStyle w:val="TableGrid"/>
        <w:tblW w:type="auto" w:w="0"/>
        <w:jc w:val="left"/>
        <w:tblLook w:firstColumn="1" w:firstRow="1" w:lastColumn="0" w:lastRow="0" w:noHBand="0" w:noVBand="1" w:val="04A0"/>
      </w:tblPr>
      <w:tblGrid>
        <w:gridCol w:w="4320"/>
        <w:gridCol w:w="4320"/>
      </w:tblGrid>
      <w:tr>
        <w:tc>
          <w:tcPr>
            <w:tcW w:type="dxa" w:w="4320"/>
            <w:shd w:val="clear" w:fill="2E7D6F"/>
          </w:tcPr>
          <w:p>
            <w:r>
              <w:rPr>
                <w:b/>
                <w:color w:val="FFFFFF"/>
                <w:sz w:val="19"/>
              </w:rPr>
              <w:t>Risk</w:t>
            </w:r>
          </w:p>
        </w:tc>
        <w:tc>
          <w:tcPr>
            <w:tcW w:type="dxa" w:w="4320"/>
            <w:shd w:val="clear" w:fill="2E7D6F"/>
          </w:tcPr>
          <w:p>
            <w:r>
              <w:rPr>
                <w:b/>
                <w:color w:val="FFFFFF"/>
                <w:sz w:val="19"/>
              </w:rPr>
              <w:t>Mitigation</w:t>
            </w:r>
          </w:p>
        </w:tc>
      </w:tr>
      <w:tr>
        <w:tc>
          <w:tcPr>
            <w:tcW w:type="dxa" w:w="4320"/>
          </w:tcPr>
          <w:p>
            <w:r>
              <w:rPr>
                <w:color w:val="1C2420"/>
                <w:sz w:val="18"/>
              </w:rPr>
              <w:t>Procurement delay drags on</w:t>
            </w:r>
          </w:p>
        </w:tc>
        <w:tc>
          <w:tcPr>
            <w:tcW w:type="dxa" w:w="4320"/>
          </w:tcPr>
          <w:p>
            <w:r>
              <w:rPr>
                <w:color w:val="1C2420"/>
                <w:sz w:val="18"/>
              </w:rPr>
              <w:t>Continue non-commercial spike; phase launch so it doesn't hard-block; keep own-data digitisation fallback designed.</w:t>
            </w:r>
          </w:p>
        </w:tc>
      </w:tr>
      <w:tr>
        <w:tc>
          <w:tcPr>
            <w:tcW w:type="dxa" w:w="4320"/>
            <w:shd w:val="clear" w:fill="F4F8F7"/>
          </w:tcPr>
          <w:p>
            <w:r>
              <w:rPr>
                <w:color w:val="1C2420"/>
                <w:sz w:val="18"/>
              </w:rPr>
              <w:t>KSRSAC declines commercial licensing</w:t>
            </w:r>
          </w:p>
        </w:tc>
        <w:tc>
          <w:tcPr>
            <w:tcW w:type="dxa" w:w="4320"/>
            <w:shd w:val="clear" w:fill="F4F8F7"/>
          </w:tcPr>
          <w:p>
            <w:r>
              <w:rPr>
                <w:color w:val="1C2420"/>
                <w:sz w:val="18"/>
              </w:rPr>
              <w:t>Get the commercial-use position in writing early; if barred, pivot to own-data aggregation/digitisation fallback.</w:t>
            </w:r>
          </w:p>
        </w:tc>
      </w:tr>
      <w:tr>
        <w:tc>
          <w:tcPr>
            <w:tcW w:type="dxa" w:w="4320"/>
          </w:tcPr>
          <w:p>
            <w:r>
              <w:rPr>
                <w:color w:val="1C2420"/>
                <w:sz w:val="18"/>
              </w:rPr>
              <w:t>Per-area pricing too high</w:t>
            </w:r>
          </w:p>
        </w:tc>
        <w:tc>
          <w:tcPr>
            <w:tcW w:type="dxa" w:w="4320"/>
          </w:tcPr>
          <w:p>
            <w:r>
              <w:rPr>
                <w:color w:val="1C2420"/>
                <w:sz w:val="18"/>
              </w:rPr>
              <w:t>Scope Karnataka-only / Bengaluru-first; pursue startup-policy concession via KDEM / Startup Karnataka.</w:t>
            </w:r>
          </w:p>
        </w:tc>
      </w:tr>
      <w:tr>
        <w:tc>
          <w:tcPr>
            <w:tcW w:type="dxa" w:w="4320"/>
            <w:shd w:val="clear" w:fill="F4F8F7"/>
          </w:tcPr>
          <w:p>
            <w:r>
              <w:rPr>
                <w:color w:val="1C2420"/>
                <w:sz w:val="18"/>
              </w:rPr>
              <w:t>“Not for legal purpose” clause</w:t>
            </w:r>
          </w:p>
        </w:tc>
        <w:tc>
          <w:tcPr>
            <w:tcW w:type="dxa" w:w="4320"/>
            <w:shd w:val="clear" w:fill="F4F8F7"/>
          </w:tcPr>
          <w:p>
            <w:r>
              <w:rPr>
                <w:color w:val="1C2420"/>
                <w:sz w:val="18"/>
              </w:rPr>
              <w:t>Position product as indicative due-diligence; add disclaimers; do not market as legal title verification.</w:t>
            </w:r>
          </w:p>
        </w:tc>
      </w:tr>
      <w:tr>
        <w:tc>
          <w:tcPr>
            <w:tcW w:type="dxa" w:w="4320"/>
          </w:tcPr>
          <w:p>
            <w:r>
              <w:rPr>
                <w:color w:val="1C2420"/>
                <w:sz w:val="18"/>
              </w:rPr>
              <w:t>Records (RTC/EC) have no API</w:t>
            </w:r>
          </w:p>
        </w:tc>
        <w:tc>
          <w:tcPr>
            <w:tcW w:type="dxa" w:w="4320"/>
          </w:tcPr>
          <w:p>
            <w:r>
              <w:rPr>
                <w:color w:val="1C2420"/>
                <w:sz w:val="18"/>
              </w:rPr>
              <w:t>v1 = deep-link + user upload; live data only after Bhoomi/Kaveri agreements.</w:t>
            </w:r>
          </w:p>
        </w:tc>
      </w:tr>
    </w:tbl>
    <w:p>
      <w:pPr>
        <w:spacing w:after="40"/>
      </w:pPr>
    </w:p>
    <w:p>
      <w:pPr>
        <w:spacing w:before="320" w:after="80"/>
        <w:pBdr>
          <w:bottom w:val="single" w:sz="6" w:space="2" w:color="2E7D6F"/>
        </w:pBdr>
      </w:pPr>
      <w:r>
        <w:rPr>
          <w:b/>
          <w:color w:val="2E7D6F"/>
          <w:sz w:val="32"/>
        </w:rPr>
        <w:t>11. National Context (supports the ask)</w:t>
      </w:r>
    </w:p>
    <w:p>
      <w:pPr>
        <w:pStyle w:val="ListBullet"/>
        <w:spacing w:after="20"/>
      </w:pPr>
      <w:r>
        <w:rPr>
          <w:color w:val="1C2420"/>
          <w:sz w:val="21"/>
        </w:rPr>
        <w:t>India Geospatial Guidelines 2021 (DST) liberalised acquisition, use and sharing of geospatial data for Indian entities — no prior approval for most data; favourable backdrop.</w:t>
      </w:r>
    </w:p>
    <w:p>
      <w:pPr>
        <w:pStyle w:val="ListBullet"/>
        <w:spacing w:after="20"/>
      </w:pPr>
      <w:r>
        <w:rPr>
          <w:color w:val="1C2420"/>
          <w:sz w:val="21"/>
        </w:rPr>
        <w:t>National Geospatial Policy 2022 pushes open, standardised geospatial data and a national framework.</w:t>
      </w:r>
    </w:p>
    <w:p>
      <w:pPr>
        <w:pStyle w:val="ListBullet"/>
        <w:spacing w:after="20"/>
      </w:pPr>
      <w:r>
        <w:rPr>
          <w:color w:val="1C2420"/>
          <w:sz w:val="21"/>
        </w:rPr>
        <w:t>DILRMP / ULPIN: Karnataka has ~1.1 crore 14-digit ULPINs (lat/long-based parcel IDs) — the emerging single source of truth; adopt ULPIN as the parcel key where available.</w:t>
      </w:r>
    </w:p>
    <w:p>
      <w:pPr>
        <w:pStyle w:val="ListBullet"/>
        <w:spacing w:after="20"/>
      </w:pPr>
      <w:r>
        <w:rPr>
          <w:color w:val="1C2420"/>
          <w:sz w:val="21"/>
        </w:rPr>
        <w:t>Caveat: cadastral / survey-of-record and land records remain under state revenue &amp; survey departments — the state agreements above are still required.</w:t>
      </w:r>
    </w:p>
    <w:p>
      <w:pPr>
        <w:spacing w:before="320" w:after="80"/>
        <w:pBdr>
          <w:bottom w:val="single" w:sz="6" w:space="2" w:color="2E7D6F"/>
        </w:pBdr>
      </w:pPr>
      <w:r>
        <w:rPr>
          <w:b/>
          <w:color w:val="2E7D6F"/>
          <w:sz w:val="32"/>
        </w:rPr>
        <w:t>12. Sources</w:t>
      </w:r>
    </w:p>
    <w:p>
      <w:pPr>
        <w:pStyle w:val="ListBullet"/>
        <w:spacing w:after="20"/>
      </w:pPr>
      <w:r>
        <w:rPr>
          <w:color w:val="1C2420"/>
          <w:sz w:val="21"/>
        </w:rPr>
        <w:t>K-GIS Web API services — kgis.ksrsac.in/kgis/webapi.aspx</w:t>
      </w:r>
    </w:p>
    <w:p>
      <w:pPr>
        <w:pStyle w:val="ListBullet"/>
        <w:spacing w:after="20"/>
      </w:pPr>
      <w:r>
        <w:rPr>
          <w:color w:val="1C2420"/>
          <w:sz w:val="21"/>
        </w:rPr>
        <w:t>K-GIS FAQ (terms of use) — kgis.ksrsac.in/kgis/faqs.aspx</w:t>
      </w:r>
    </w:p>
    <w:p>
      <w:pPr>
        <w:pStyle w:val="ListBullet"/>
        <w:spacing w:after="20"/>
      </w:pPr>
      <w:r>
        <w:rPr>
          <w:color w:val="1C2420"/>
          <w:sz w:val="21"/>
        </w:rPr>
        <w:t>KSRSAC — ksrsac.karnataka.gov.in</w:t>
      </w:r>
    </w:p>
    <w:p>
      <w:pPr>
        <w:pStyle w:val="ListBullet"/>
        <w:spacing w:after="20"/>
      </w:pPr>
      <w:r>
        <w:rPr>
          <w:color w:val="1C2420"/>
          <w:sz w:val="21"/>
        </w:rPr>
        <w:t>DILRMP / ULPIN — dilrmp.gov.in, dolr.gov.in/ulpin</w:t>
      </w:r>
    </w:p>
    <w:p>
      <w:pPr>
        <w:pStyle w:val="ListBullet"/>
        <w:spacing w:after="20"/>
      </w:pPr>
      <w:r>
        <w:rPr>
          <w:color w:val="1C2420"/>
          <w:sz w:val="21"/>
        </w:rPr>
        <w:t>India Geospatial Guidelines 2021 (DST); National Geospatial Policy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