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pPr>
      <w:r>
        <w:rPr>
          <w:rFonts w:ascii="Calibri" w:cs="Calibri" w:eastAsia="Calibri" w:hAnsi="Calibri"/>
          <w:b/>
          <w:bCs/>
          <w:color w:val="B8860B"/>
          <w:spacing w:val="20"/>
          <w:sz w:val="18"/>
          <w:szCs w:val="18"/>
        </w:rPr>
        <w:t xml:space="preserve">APEX IT SOLUTION · LANDING PAGE COPY</w:t>
      </w:r>
    </w:p>
    <w:p>
      <w:pPr>
        <w:pStyle w:val="Heading1"/>
        <w:spacing w:after="160" w:before="240"/>
      </w:pPr>
      <w:r>
        <w:rPr>
          <w:rFonts w:ascii="Calibri" w:cs="Calibri" w:eastAsia="Calibri" w:hAnsi="Calibri"/>
          <w:b/>
          <w:bCs/>
          <w:color w:val="1B2A4E"/>
          <w:sz w:val="44"/>
          <w:szCs w:val="44"/>
        </w:rPr>
        <w:t xml:space="preserve">Digital Marketing for Malaysian Law Firms</w:t>
      </w:r>
    </w:p>
    <w:p>
      <w:pPr>
        <w:spacing w:after="120" w:before="60" w:line="320"/>
        <w:jc w:val="left"/>
      </w:pPr>
      <w:r>
        <w:rPr>
          <w:rFonts w:ascii="Calibri" w:cs="Calibri" w:eastAsia="Calibri" w:hAnsi="Calibri"/>
          <w:i/>
          <w:iCs/>
          <w:color w:val="666666"/>
          <w:sz w:val="22"/>
          <w:szCs w:val="22"/>
        </w:rPr>
        <w:t xml:space="preserve">Vertical landing page copy — apexsolutions.my · Under </w:t>
      </w:r>
      <w:r>
        <w:rPr>
          <w:rFonts w:ascii="Calibri" w:cs="Calibri" w:eastAsia="Calibri" w:hAnsi="Calibri"/>
          <w:i/>
          <w:iCs/>
          <w:color w:val="666666"/>
          <w:sz w:val="22"/>
          <w:szCs w:val="22"/>
        </w:rPr>
        <w:t xml:space="preserve">/who-we-serve/law-firms</w:t>
      </w:r>
    </w:p>
    <w:p>
      <w:pPr>
        <w:spacing w:after="120" w:before="0"/>
      </w:pPr>
      <w:r>
        <w:rPr>
          <w:rFonts w:ascii="Calibri" w:cs="Calibri" w:eastAsia="Calibri" w:hAnsi="Calibri"/>
          <w:i/>
          <w:iCs/>
          <w:color w:val="666666"/>
          <w:sz w:val="18"/>
          <w:szCs w:val="18"/>
        </w:rPr>
        <w:t xml:space="preserve">Prepared for Navin — Apex IT Solution · Sungai Besi, Kuala Lumpur · Since 2006</w:t>
      </w:r>
    </w:p>
    <w:p>
      <w:pPr>
        <w:pBdr>
          <w:bottom w:val="single" w:color="CCCCCC" w:sz="6" w:space="4"/>
        </w:pBdr>
        <w:spacing w:after="160" w:before="160"/>
      </w:pPr>
      <w:r>
        <w:t xml:space="preserve"/>
      </w:r>
    </w:p>
    <w:p>
      <w:pPr>
        <w:pStyle w:val="Heading2"/>
        <w:pBdr>
          <w:bottom w:val="single" w:color="B8860B" w:sz="8" w:space="4"/>
        </w:pBdr>
        <w:spacing w:after="160" w:before="360"/>
      </w:pPr>
      <w:r>
        <w:rPr>
          <w:rFonts w:ascii="Calibri" w:cs="Calibri" w:eastAsia="Calibri" w:hAnsi="Calibri"/>
          <w:b/>
          <w:bCs/>
          <w:color w:val="1B2A4E"/>
          <w:sz w:val="32"/>
          <w:szCs w:val="32"/>
        </w:rPr>
        <w:t xml:space="preserve">SEO Metadata</w:t>
      </w:r>
    </w:p>
    <w:p>
      <w:pPr>
        <w:spacing w:after="120" w:before="60" w:line="320"/>
        <w:jc w:val="left"/>
      </w:pPr>
      <w:r>
        <w:rPr>
          <w:rFonts w:ascii="Calibri" w:cs="Calibri" w:eastAsia="Calibri" w:hAnsi="Calibri"/>
          <w:b/>
          <w:bCs/>
          <w:color w:val="222222"/>
          <w:sz w:val="22"/>
          <w:szCs w:val="22"/>
        </w:rPr>
        <w:t xml:space="preserve">Meta title (57 chars): </w:t>
      </w:r>
      <w:r>
        <w:rPr>
          <w:rFonts w:ascii="Calibri" w:cs="Calibri" w:eastAsia="Calibri" w:hAnsi="Calibri"/>
          <w:color w:val="222222"/>
          <w:sz w:val="22"/>
          <w:szCs w:val="22"/>
        </w:rPr>
        <w:t xml:space="preserve">Digital marketing for Malaysian law firms | Apex IT Solution</w:t>
      </w:r>
    </w:p>
    <w:p>
      <w:pPr>
        <w:spacing w:after="120" w:before="60" w:line="320"/>
        <w:jc w:val="left"/>
      </w:pPr>
      <w:r>
        <w:rPr>
          <w:rFonts w:ascii="Calibri" w:cs="Calibri" w:eastAsia="Calibri" w:hAnsi="Calibri"/>
          <w:b/>
          <w:bCs/>
          <w:color w:val="222222"/>
          <w:sz w:val="22"/>
          <w:szCs w:val="22"/>
        </w:rPr>
        <w:t xml:space="preserve">Meta description (155 chars): </w:t>
      </w:r>
      <w:r>
        <w:rPr>
          <w:rFonts w:ascii="Calibri" w:cs="Calibri" w:eastAsia="Calibri" w:hAnsi="Calibri"/>
          <w:color w:val="222222"/>
          <w:sz w:val="22"/>
          <w:szCs w:val="22"/>
        </w:rPr>
        <w:t xml:space="preserve">The 2025 Publicity Rules changed what your firm can do online. Websites, SEO, social, Google Ads — done compliantly. Book a free discovery call.</w:t>
      </w:r>
    </w:p>
    <w:p>
      <w:pPr>
        <w:spacing w:after="120" w:before="60" w:line="320"/>
        <w:jc w:val="left"/>
      </w:pPr>
      <w:r>
        <w:rPr>
          <w:rFonts w:ascii="Calibri" w:cs="Calibri" w:eastAsia="Calibri" w:hAnsi="Calibri"/>
          <w:b/>
          <w:bCs/>
          <w:color w:val="222222"/>
          <w:sz w:val="22"/>
          <w:szCs w:val="22"/>
        </w:rPr>
        <w:t xml:space="preserve">URL slug: </w:t>
      </w:r>
      <w:r>
        <w:rPr>
          <w:rFonts w:ascii="Calibri" w:cs="Calibri" w:eastAsia="Calibri" w:hAnsi="Calibri"/>
          <w:color w:val="222222"/>
          <w:sz w:val="22"/>
          <w:szCs w:val="22"/>
        </w:rPr>
        <w:t xml:space="preserve">/industries/law-firms or /who-we-serve/law-firms</w:t>
      </w:r>
    </w:p>
    <w:p>
      <w:pPr>
        <w:spacing w:after="120" w:before="60" w:line="320"/>
        <w:jc w:val="left"/>
      </w:pPr>
      <w:r>
        <w:rPr>
          <w:rFonts w:ascii="Calibri" w:cs="Calibri" w:eastAsia="Calibri" w:hAnsi="Calibri"/>
          <w:b/>
          <w:bCs/>
          <w:color w:val="222222"/>
          <w:sz w:val="22"/>
          <w:szCs w:val="22"/>
        </w:rPr>
        <w:t xml:space="preserve">Open Graph title: </w:t>
      </w:r>
      <w:r>
        <w:rPr>
          <w:rFonts w:ascii="Calibri" w:cs="Calibri" w:eastAsia="Calibri" w:hAnsi="Calibri"/>
          <w:color w:val="222222"/>
          <w:sz w:val="22"/>
          <w:szCs w:val="22"/>
        </w:rPr>
        <w:t xml:space="preserve">Your firm can finally be found online. Here's how to do it right.</w:t>
      </w:r>
    </w:p>
    <w:p>
      <w:pPr>
        <w:pStyle w:val="Heading2"/>
        <w:pBdr>
          <w:bottom w:val="single" w:color="B8860B" w:sz="8" w:space="4"/>
        </w:pBdr>
        <w:spacing w:after="160" w:before="360"/>
      </w:pPr>
      <w:r>
        <w:rPr>
          <w:rFonts w:ascii="Calibri" w:cs="Calibri" w:eastAsia="Calibri" w:hAnsi="Calibri"/>
          <w:b/>
          <w:bCs/>
          <w:color w:val="1B2A4E"/>
          <w:sz w:val="32"/>
          <w:szCs w:val="32"/>
        </w:rPr>
        <w:t xml:space="preserve">1. Hero Section</w:t>
      </w:r>
    </w:p>
    <w:p>
      <w:pPr>
        <w:spacing w:after="40" w:before="160"/>
      </w:pPr>
      <w:r>
        <w:rPr>
          <w:rFonts w:ascii="Calibri" w:cs="Calibri" w:eastAsia="Calibri" w:hAnsi="Calibri"/>
          <w:b/>
          <w:bCs/>
          <w:color w:val="B8860B"/>
          <w:spacing w:val="20"/>
          <w:sz w:val="18"/>
          <w:szCs w:val="18"/>
        </w:rPr>
        <w:t xml:space="preserve">H1</w:t>
      </w:r>
    </w:p>
    <w:p>
      <w:pPr>
        <w:spacing w:after="120" w:before="60" w:line="320"/>
        <w:jc w:val="left"/>
      </w:pPr>
      <w:r>
        <w:rPr>
          <w:rFonts w:ascii="Calibri" w:cs="Calibri" w:eastAsia="Calibri" w:hAnsi="Calibri"/>
          <w:b/>
          <w:bCs/>
          <w:color w:val="1B2A4E"/>
          <w:sz w:val="32"/>
          <w:szCs w:val="32"/>
        </w:rPr>
        <w:t xml:space="preserve">The 2025 Publicity Rules just rewrote how Malaysian law firms compete. Most firms haven't noticed yet.</w:t>
      </w:r>
    </w:p>
    <w:p>
      <w:pPr>
        <w:spacing w:after="40" w:before="160"/>
      </w:pPr>
      <w:r>
        <w:rPr>
          <w:rFonts w:ascii="Calibri" w:cs="Calibri" w:eastAsia="Calibri" w:hAnsi="Calibri"/>
          <w:b/>
          <w:bCs/>
          <w:color w:val="B8860B"/>
          <w:spacing w:val="20"/>
          <w:sz w:val="18"/>
          <w:szCs w:val="18"/>
        </w:rPr>
        <w:t xml:space="preserve">SUBHEAD</w:t>
      </w:r>
    </w:p>
    <w:p>
      <w:pPr>
        <w:spacing w:after="120" w:before="60" w:line="320"/>
        <w:jc w:val="left"/>
      </w:pPr>
      <w:r>
        <w:rPr>
          <w:rFonts w:ascii="Calibri" w:cs="Calibri" w:eastAsia="Calibri" w:hAnsi="Calibri"/>
          <w:color w:val="222222"/>
          <w:sz w:val="22"/>
          <w:szCs w:val="22"/>
        </w:rPr>
        <w:t xml:space="preserve">On 1 January 2026, the Legal Profession (Publicity) Rules 2025 replaced a prescriptive 24-year-old framework with a principle-based one. Websites, SEO, social media, Google Ads, specialisation claims — activities that were restricted or impractical under the 2001 rules are now expressly permitted, subject to the overriding principle of professional dignity. The firms that move first will define how clients find Malaysian lawyers for the next decade.</w:t>
      </w:r>
    </w:p>
    <w:p>
      <w:pPr>
        <w:spacing w:after="160" w:before="0"/>
      </w:pPr>
      <w:r>
        <w:t xml:space="preserve"/>
      </w:r>
    </w:p>
    <w:tbl>
      <w:tblPr>
        <w:tblW w:type="dxa" w:w="9360"/>
        <w:tblBorders>
          <w:top w:val="single" w:color="1B2A4E" w:sz="4"/>
          <w:left w:val="single" w:color="1B2A4E" w:sz="4"/>
          <w:bottom w:val="single" w:color="1B2A4E" w:sz="4"/>
          <w:right w:val="single" w:color="1B2A4E" w:sz="4"/>
          <w:insideH w:val="none" w:color="FFFFFF" w:sz="0"/>
          <w:insideV w:val="none" w:color="FFFFFF" w:sz="0"/>
        </w:tblBorders>
      </w:tblPr>
      <w:tblGrid>
        <w:gridCol w:w="9360"/>
      </w:tblGrid>
      <w:tr>
        <w:tc>
          <w:tcPr>
            <w:tcW w:type="dxa" w:w="9360"/>
            <w:shd w:fill="1B2A4E" w:color="auto" w:val="clear"/>
            <w:tcMar>
              <w:top w:type="dxa" w:w="280"/>
              <w:left w:type="dxa" w:w="320"/>
              <w:bottom w:type="dxa" w:w="280"/>
              <w:right w:type="dxa" w:w="320"/>
            </w:tcMar>
          </w:tcPr>
          <w:p>
            <w:pPr>
              <w:spacing w:after="120" w:before="0"/>
            </w:pPr>
            <w:r>
              <w:rPr>
                <w:rFonts w:ascii="Calibri" w:cs="Calibri" w:eastAsia="Calibri" w:hAnsi="Calibri"/>
                <w:b/>
                <w:bCs/>
                <w:color w:val="B8860B"/>
                <w:spacing w:val="20"/>
                <w:sz w:val="18"/>
                <w:szCs w:val="18"/>
              </w:rPr>
              <w:t xml:space="preserve">PRIMARY CTA</w:t>
            </w:r>
          </w:p>
          <w:p>
            <w:pPr>
              <w:spacing w:after="200" w:before="0"/>
            </w:pPr>
            <w:r>
              <w:rPr>
                <w:rFonts w:ascii="Calibri" w:cs="Calibri" w:eastAsia="Calibri" w:hAnsi="Calibri"/>
                <w:b/>
                <w:bCs/>
                <w:color w:val="FFFFFF"/>
                <w:sz w:val="28"/>
                <w:szCs w:val="28"/>
              </w:rPr>
              <w:t xml:space="preserve">[ Book a free discovery call ]</w:t>
            </w:r>
          </w:p>
          <w:p>
            <w:pPr>
              <w:spacing w:after="120" w:before="0"/>
            </w:pPr>
            <w:r>
              <w:rPr>
                <w:rFonts w:ascii="Calibri" w:cs="Calibri" w:eastAsia="Calibri" w:hAnsi="Calibri"/>
                <w:b/>
                <w:bCs/>
                <w:color w:val="B8860B"/>
                <w:spacing w:val="20"/>
                <w:sz w:val="18"/>
                <w:szCs w:val="18"/>
              </w:rPr>
              <w:t xml:space="preserve">SECONDARY CTA</w:t>
            </w:r>
          </w:p>
          <w:p>
            <w:pPr>
              <w:spacing w:after="200" w:before="0"/>
            </w:pPr>
            <w:r>
              <w:rPr>
                <w:rFonts w:ascii="Calibri" w:cs="Calibri" w:eastAsia="Calibri" w:hAnsi="Calibri"/>
                <w:b/>
                <w:bCs/>
                <w:color w:val="FFFFFF"/>
                <w:sz w:val="28"/>
                <w:szCs w:val="28"/>
              </w:rPr>
              <w:t xml:space="preserve">[ WhatsApp us: 017-974-2459 ]</w:t>
            </w:r>
          </w:p>
          <w:p>
            <w:pPr>
              <w:spacing w:after="0" w:before="0"/>
            </w:pPr>
            <w:r>
              <w:rPr>
                <w:rFonts w:ascii="Calibri" w:cs="Calibri" w:eastAsia="Calibri" w:hAnsi="Calibri"/>
                <w:i/>
                <w:iCs/>
                <w:color w:val="D5D9E0"/>
                <w:sz w:val="20"/>
                <w:szCs w:val="20"/>
              </w:rPr>
              <w:t xml:space="preserve">Trust micro-copy: No pitch. No obligation. A 30-minute diagnostic of your firm's digital position — and what the new rules allow you to do about it.</w:t>
            </w:r>
          </w:p>
        </w:tc>
      </w:tr>
    </w:tbl>
    <w:p>
      <w:pPr>
        <w:pStyle w:val="Heading2"/>
        <w:pBdr>
          <w:bottom w:val="single" w:color="B8860B" w:sz="8" w:space="4"/>
        </w:pBdr>
        <w:spacing w:after="160" w:before="360"/>
      </w:pPr>
      <w:r>
        <w:rPr>
          <w:rFonts w:ascii="Calibri" w:cs="Calibri" w:eastAsia="Calibri" w:hAnsi="Calibri"/>
          <w:b/>
          <w:bCs/>
          <w:color w:val="1B2A4E"/>
          <w:sz w:val="32"/>
          <w:szCs w:val="32"/>
        </w:rPr>
        <w:t xml:space="preserve">2. The Regulatory Moment — What Actually Changed</w:t>
      </w:r>
    </w:p>
    <w:p>
      <w:pPr>
        <w:spacing w:after="120" w:before="60" w:line="320"/>
        <w:jc w:val="left"/>
      </w:pPr>
      <w:r>
        <w:rPr>
          <w:rFonts w:ascii="Calibri" w:cs="Calibri" w:eastAsia="Calibri" w:hAnsi="Calibri"/>
          <w:color w:val="222222"/>
          <w:sz w:val="22"/>
          <w:szCs w:val="22"/>
        </w:rPr>
        <w:t xml:space="preserve">For 24 years, Malaysian lawyers operated under the Legal Profession (Publicity) Rules 2001. Those rules worked from a list: only 18 categories of “Approved Information” could be publicised, electronic media was tightly controlled, claims of specialisation were prohibited, and even a lawyer's photograph in the press was disallowed under the 1978 Practice and Etiquette Rules (Malaysian Bar, archived 2001 Rules).</w:t>
      </w:r>
    </w:p>
    <w:p>
      <w:pPr>
        <w:spacing w:after="120" w:before="60" w:line="320"/>
        <w:jc w:val="left"/>
      </w:pPr>
      <w:r>
        <w:rPr>
          <w:rFonts w:ascii="Calibri" w:cs="Calibri" w:eastAsia="Calibri" w:hAnsi="Calibri"/>
          <w:color w:val="222222"/>
          <w:sz w:val="22"/>
          <w:szCs w:val="22"/>
        </w:rPr>
        <w:t xml:space="preserve">On </w:t>
      </w:r>
      <w:r>
        <w:rPr>
          <w:rFonts w:ascii="Calibri" w:cs="Calibri" w:eastAsia="Calibri" w:hAnsi="Calibri"/>
          <w:b/>
          <w:bCs/>
          <w:color w:val="222222"/>
          <w:sz w:val="22"/>
          <w:szCs w:val="22"/>
        </w:rPr>
        <w:t xml:space="preserve">26 December 2025, the Federal Gazette published P.U.(A) 462/2025</w:t>
      </w:r>
      <w:r>
        <w:rPr>
          <w:rFonts w:ascii="Calibri" w:cs="Calibri" w:eastAsia="Calibri" w:hAnsi="Calibri"/>
          <w:color w:val="222222"/>
          <w:sz w:val="22"/>
          <w:szCs w:val="22"/>
        </w:rPr>
        <w:t xml:space="preserve"> — the Legal Profession (Publicity) Rules 2025 — which came into force on </w:t>
      </w:r>
      <w:r>
        <w:rPr>
          <w:rFonts w:ascii="Calibri" w:cs="Calibri" w:eastAsia="Calibri" w:hAnsi="Calibri"/>
          <w:b/>
          <w:bCs/>
          <w:color w:val="222222"/>
          <w:sz w:val="22"/>
          <w:szCs w:val="22"/>
        </w:rPr>
        <w:t xml:space="preserve">1 January 2026</w:t>
      </w:r>
      <w:r>
        <w:rPr>
          <w:rFonts w:ascii="Calibri" w:cs="Calibri" w:eastAsia="Calibri" w:hAnsi="Calibri"/>
          <w:color w:val="222222"/>
          <w:sz w:val="22"/>
          <w:szCs w:val="22"/>
        </w:rPr>
        <w:t xml:space="preserve"> and revoked the 2001 framework entirely (Malaysian Bar Circular No 471/2025).</w:t>
      </w:r>
    </w:p>
    <w:p>
      <w:pPr>
        <w:spacing w:after="120" w:before="60" w:line="320"/>
        <w:jc w:val="left"/>
      </w:pPr>
      <w:r>
        <w:rPr>
          <w:rFonts w:ascii="Calibri" w:cs="Calibri" w:eastAsia="Calibri" w:hAnsi="Calibri"/>
          <w:color w:val="222222"/>
          <w:sz w:val="22"/>
          <w:szCs w:val="22"/>
        </w:rPr>
        <w:t xml:space="preserve">The Bar Council describes the reform as follows:</w:t>
      </w:r>
    </w:p>
    <w:p>
      <w:pPr>
        <w:spacing w:after="60" w:before="120" w:line="320"/>
        <w:ind w:left="360" w:right="360"/>
      </w:pPr>
      <w:r>
        <w:rPr>
          <w:rFonts w:ascii="Calibri" w:cs="Calibri" w:eastAsia="Calibri" w:hAnsi="Calibri"/>
          <w:i/>
          <w:iCs/>
          <w:color w:val="1B2A4E"/>
          <w:sz w:val="24"/>
          <w:szCs w:val="24"/>
        </w:rPr>
        <w:t xml:space="preserve">"A principle-based approach, aimed at providing updated and clearer guidance on publicity involving the legal profession in line with current practices and technology."</w:t>
      </w:r>
    </w:p>
    <w:p>
      <w:pPr>
        <w:spacing w:after="120" w:before="0"/>
        <w:ind w:left="360" w:right="360"/>
      </w:pPr>
      <w:r>
        <w:rPr>
          <w:rFonts w:ascii="Calibri" w:cs="Calibri" w:eastAsia="Calibri" w:hAnsi="Calibri"/>
          <w:color w:val="666666"/>
          <w:sz w:val="20"/>
          <w:szCs w:val="20"/>
        </w:rPr>
        <w:t xml:space="preserve">— Malaysian Bar Circular No 471/2025</w:t>
      </w:r>
    </w:p>
    <w:p>
      <w:pPr>
        <w:spacing w:after="120" w:before="0"/>
      </w:pPr>
      <w:r>
        <w:t xml:space="preserve"/>
      </w:r>
    </w:p>
    <w:p>
      <w:pPr>
        <w:spacing w:after="40" w:before="160"/>
      </w:pPr>
      <w:r>
        <w:rPr>
          <w:rFonts w:ascii="Calibri" w:cs="Calibri" w:eastAsia="Calibri" w:hAnsi="Calibri"/>
          <w:b/>
          <w:bCs/>
          <w:color w:val="B8860B"/>
          <w:spacing w:val="20"/>
          <w:sz w:val="18"/>
          <w:szCs w:val="18"/>
        </w:rPr>
        <w:t xml:space="preserve">AT A GLANCE —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2A4E" w:sz="4"/>
              <w:left w:val="single" w:color="1B2A4E" w:sz="4"/>
              <w:bottom w:val="single" w:color="1B2A4E" w:sz="4"/>
              <w:right w:val="single" w:color="1B2A4E" w:sz="4"/>
            </w:tcBorders>
            <w:shd w:fill="1B2A4E" w:color="auto" w:val="clear"/>
            <w:tcMar>
              <w:top w:type="dxa" w:w="140"/>
              <w:left w:type="dxa" w:w="160"/>
              <w:bottom w:type="dxa" w:w="140"/>
              <w:right w:type="dxa" w:w="160"/>
            </w:tcMar>
          </w:tcPr>
          <w:p>
            <w:r>
              <w:rPr>
                <w:rFonts w:ascii="Calibri" w:cs="Calibri" w:eastAsia="Calibri" w:hAnsi="Calibri"/>
                <w:b/>
                <w:bCs/>
                <w:color w:val="FFFFFF"/>
                <w:sz w:val="22"/>
                <w:szCs w:val="22"/>
              </w:rPr>
              <w:t xml:space="preserve">Before — 2001 Rules</w:t>
            </w:r>
          </w:p>
        </w:tc>
        <w:tc>
          <w:tcPr>
            <w:tcW w:type="dxa" w:w="4680"/>
            <w:tcBorders>
              <w:top w:val="single" w:color="1B2A4E" w:sz="4"/>
              <w:left w:val="single" w:color="1B2A4E" w:sz="4"/>
              <w:bottom w:val="single" w:color="1B2A4E" w:sz="4"/>
              <w:right w:val="single" w:color="1B2A4E" w:sz="4"/>
            </w:tcBorders>
            <w:shd w:fill="B8860B" w:color="auto" w:val="clear"/>
            <w:tcMar>
              <w:top w:type="dxa" w:w="140"/>
              <w:left w:type="dxa" w:w="160"/>
              <w:bottom w:type="dxa" w:w="140"/>
              <w:right w:type="dxa" w:w="160"/>
            </w:tcMar>
          </w:tcPr>
          <w:p>
            <w:r>
              <w:rPr>
                <w:rFonts w:ascii="Calibri" w:cs="Calibri" w:eastAsia="Calibri" w:hAnsi="Calibri"/>
                <w:b/>
                <w:bCs/>
                <w:color w:val="FFFFFF"/>
                <w:sz w:val="22"/>
                <w:szCs w:val="22"/>
              </w:rPr>
              <w:t xml:space="preserve">After — 2025 Rules (in force)</w:t>
            </w:r>
          </w:p>
        </w:tc>
      </w:tr>
      <w:tr>
        <w:tc>
          <w:tcPr>
            <w:tcW w:type="dxa" w:w="4680"/>
            <w:tcBorders>
              <w:top w:val="single" w:color="CCCCCC" w:sz="2"/>
              <w:left w:val="single" w:color="CCCCCC" w:sz="2"/>
              <w:bottom w:val="single" w:color="CCCCCC" w:sz="2"/>
              <w:right w:val="single" w:color="CCCCCC" w:sz="2"/>
            </w:tcBorders>
            <w:tcMar>
              <w:top w:type="dxa" w:w="120"/>
              <w:left w:type="dxa" w:w="160"/>
              <w:bottom w:type="dxa" w:w="120"/>
              <w:right w:type="dxa" w:w="160"/>
            </w:tcMar>
          </w:tcPr>
          <w:p>
            <w:pPr>
              <w:spacing w:line="280"/>
            </w:pPr>
            <w:r>
              <w:rPr>
                <w:rFonts w:ascii="Calibri" w:cs="Calibri" w:eastAsia="Calibri" w:hAnsi="Calibri"/>
                <w:color w:val="222222"/>
                <w:sz w:val="20"/>
                <w:szCs w:val="20"/>
              </w:rPr>
              <w:t xml:space="preserve">Only 18 categories of “Approved Information” permitted.</w:t>
            </w:r>
          </w:p>
        </w:tc>
        <w:tc>
          <w:tcPr>
            <w:tcW w:type="dxa" w:w="4680"/>
            <w:tcBorders>
              <w:top w:val="single" w:color="CCCCCC" w:sz="2"/>
              <w:left w:val="single" w:color="CCCCCC" w:sz="2"/>
              <w:bottom w:val="single" w:color="CCCCCC" w:sz="2"/>
              <w:right w:val="single" w:color="CCCCCC" w:sz="2"/>
            </w:tcBorders>
            <w:shd w:fill="F4F1EA" w:color="auto" w:val="clear"/>
            <w:tcMar>
              <w:top w:type="dxa" w:w="120"/>
              <w:left w:type="dxa" w:w="160"/>
              <w:bottom w:type="dxa" w:w="120"/>
              <w:right w:type="dxa" w:w="160"/>
            </w:tcMar>
          </w:tcPr>
          <w:p>
            <w:pPr>
              <w:spacing w:line="280"/>
            </w:pPr>
            <w:r>
              <w:rPr>
                <w:rFonts w:ascii="Calibri" w:cs="Calibri" w:eastAsia="Calibri" w:hAnsi="Calibri"/>
                <w:color w:val="222222"/>
                <w:sz w:val="20"/>
                <w:szCs w:val="20"/>
              </w:rPr>
              <w:t xml:space="preserve">Principle-based framework — dignity of the profession governs.</w:t>
            </w:r>
          </w:p>
        </w:tc>
      </w:tr>
      <w:tr>
        <w:tc>
          <w:tcPr>
            <w:tcW w:type="dxa" w:w="4680"/>
            <w:tcBorders>
              <w:top w:val="single" w:color="CCCCCC" w:sz="2"/>
              <w:left w:val="single" w:color="CCCCCC" w:sz="2"/>
              <w:bottom w:val="single" w:color="CCCCCC" w:sz="2"/>
              <w:right w:val="single" w:color="CCCCCC" w:sz="2"/>
            </w:tcBorders>
            <w:tcMar>
              <w:top w:type="dxa" w:w="120"/>
              <w:left w:type="dxa" w:w="160"/>
              <w:bottom w:type="dxa" w:w="120"/>
              <w:right w:type="dxa" w:w="160"/>
            </w:tcMar>
          </w:tcPr>
          <w:p>
            <w:pPr>
              <w:spacing w:line="280"/>
            </w:pPr>
            <w:r>
              <w:rPr>
                <w:rFonts w:ascii="Calibri" w:cs="Calibri" w:eastAsia="Calibri" w:hAnsi="Calibri"/>
                <w:color w:val="222222"/>
                <w:sz w:val="20"/>
                <w:szCs w:val="20"/>
              </w:rPr>
              <w:t xml:space="preserve">Electronic media tightly controlled; websites heavily restricted.</w:t>
            </w:r>
          </w:p>
        </w:tc>
        <w:tc>
          <w:tcPr>
            <w:tcW w:type="dxa" w:w="4680"/>
            <w:tcBorders>
              <w:top w:val="single" w:color="CCCCCC" w:sz="2"/>
              <w:left w:val="single" w:color="CCCCCC" w:sz="2"/>
              <w:bottom w:val="single" w:color="CCCCCC" w:sz="2"/>
              <w:right w:val="single" w:color="CCCCCC" w:sz="2"/>
            </w:tcBorders>
            <w:shd w:fill="F4F1EA" w:color="auto" w:val="clear"/>
            <w:tcMar>
              <w:top w:type="dxa" w:w="120"/>
              <w:left w:type="dxa" w:w="160"/>
              <w:bottom w:type="dxa" w:w="120"/>
              <w:right w:type="dxa" w:w="160"/>
            </w:tcMar>
          </w:tcPr>
          <w:p>
            <w:pPr>
              <w:spacing w:line="280"/>
            </w:pPr>
            <w:r>
              <w:rPr>
                <w:rFonts w:ascii="Calibri" w:cs="Calibri" w:eastAsia="Calibri" w:hAnsi="Calibri"/>
                <w:color w:val="222222"/>
                <w:sz w:val="20"/>
                <w:szCs w:val="20"/>
              </w:rPr>
              <w:t xml:space="preserve">Substantive websites, blogs and electronic publishing expressly permitted.</w:t>
            </w:r>
          </w:p>
        </w:tc>
      </w:tr>
      <w:tr>
        <w:tc>
          <w:tcPr>
            <w:tcW w:type="dxa" w:w="4680"/>
            <w:tcBorders>
              <w:top w:val="single" w:color="CCCCCC" w:sz="2"/>
              <w:left w:val="single" w:color="CCCCCC" w:sz="2"/>
              <w:bottom w:val="single" w:color="CCCCCC" w:sz="2"/>
              <w:right w:val="single" w:color="CCCCCC" w:sz="2"/>
            </w:tcBorders>
            <w:tcMar>
              <w:top w:type="dxa" w:w="120"/>
              <w:left w:type="dxa" w:w="160"/>
              <w:bottom w:type="dxa" w:w="120"/>
              <w:right w:type="dxa" w:w="160"/>
            </w:tcMar>
          </w:tcPr>
          <w:p>
            <w:pPr>
              <w:spacing w:line="280"/>
            </w:pPr>
            <w:r>
              <w:rPr>
                <w:rFonts w:ascii="Calibri" w:cs="Calibri" w:eastAsia="Calibri" w:hAnsi="Calibri"/>
                <w:color w:val="222222"/>
                <w:sz w:val="20"/>
                <w:szCs w:val="20"/>
              </w:rPr>
              <w:t xml:space="preserve">Specialisation claims prohibited.</w:t>
            </w:r>
          </w:p>
        </w:tc>
        <w:tc>
          <w:tcPr>
            <w:tcW w:type="dxa" w:w="4680"/>
            <w:tcBorders>
              <w:top w:val="single" w:color="CCCCCC" w:sz="2"/>
              <w:left w:val="single" w:color="CCCCCC" w:sz="2"/>
              <w:bottom w:val="single" w:color="CCCCCC" w:sz="2"/>
              <w:right w:val="single" w:color="CCCCCC" w:sz="2"/>
            </w:tcBorders>
            <w:shd w:fill="F4F1EA" w:color="auto" w:val="clear"/>
            <w:tcMar>
              <w:top w:type="dxa" w:w="120"/>
              <w:left w:type="dxa" w:w="160"/>
              <w:bottom w:type="dxa" w:w="120"/>
              <w:right w:type="dxa" w:w="160"/>
            </w:tcMar>
          </w:tcPr>
          <w:p>
            <w:pPr>
              <w:spacing w:line="280"/>
            </w:pPr>
            <w:r>
              <w:rPr>
                <w:rFonts w:ascii="Calibri" w:cs="Calibri" w:eastAsia="Calibri" w:hAnsi="Calibri"/>
                <w:color w:val="222222"/>
                <w:sz w:val="20"/>
                <w:szCs w:val="20"/>
              </w:rPr>
              <w:t xml:space="preserve">Specialisation claims allowed, if justifiable on qualifications, experience, and track record (Rule 6).</w:t>
            </w:r>
          </w:p>
        </w:tc>
      </w:tr>
      <w:tr>
        <w:tc>
          <w:tcPr>
            <w:tcW w:type="dxa" w:w="4680"/>
            <w:tcBorders>
              <w:top w:val="single" w:color="CCCCCC" w:sz="2"/>
              <w:left w:val="single" w:color="CCCCCC" w:sz="2"/>
              <w:bottom w:val="single" w:color="CCCCCC" w:sz="2"/>
              <w:right w:val="single" w:color="CCCCCC" w:sz="2"/>
            </w:tcBorders>
            <w:tcMar>
              <w:top w:type="dxa" w:w="120"/>
              <w:left w:type="dxa" w:w="160"/>
              <w:bottom w:type="dxa" w:w="120"/>
              <w:right w:type="dxa" w:w="160"/>
            </w:tcMar>
          </w:tcPr>
          <w:p>
            <w:pPr>
              <w:spacing w:line="280"/>
            </w:pPr>
            <w:r>
              <w:rPr>
                <w:rFonts w:ascii="Calibri" w:cs="Calibri" w:eastAsia="Calibri" w:hAnsi="Calibri"/>
                <w:color w:val="222222"/>
                <w:sz w:val="20"/>
                <w:szCs w:val="20"/>
              </w:rPr>
              <w:t xml:space="preserve">Lawyer photographs in press disallowed (1978 Etiquette Rules).</w:t>
            </w:r>
          </w:p>
        </w:tc>
        <w:tc>
          <w:tcPr>
            <w:tcW w:type="dxa" w:w="4680"/>
            <w:tcBorders>
              <w:top w:val="single" w:color="CCCCCC" w:sz="2"/>
              <w:left w:val="single" w:color="CCCCCC" w:sz="2"/>
              <w:bottom w:val="single" w:color="CCCCCC" w:sz="2"/>
              <w:right w:val="single" w:color="CCCCCC" w:sz="2"/>
            </w:tcBorders>
            <w:shd w:fill="F4F1EA" w:color="auto" w:val="clear"/>
            <w:tcMar>
              <w:top w:type="dxa" w:w="120"/>
              <w:left w:type="dxa" w:w="160"/>
              <w:bottom w:type="dxa" w:w="120"/>
              <w:right w:type="dxa" w:w="160"/>
            </w:tcMar>
          </w:tcPr>
          <w:p>
            <w:pPr>
              <w:spacing w:line="280"/>
            </w:pPr>
            <w:r>
              <w:rPr>
                <w:rFonts w:ascii="Calibri" w:cs="Calibri" w:eastAsia="Calibri" w:hAnsi="Calibri"/>
                <w:color w:val="222222"/>
                <w:sz w:val="20"/>
                <w:szCs w:val="20"/>
              </w:rPr>
              <w:t xml:space="preserve">Lawyer imagery permitted within dignified professional standards.</w:t>
            </w:r>
          </w:p>
        </w:tc>
      </w:tr>
      <w:tr>
        <w:tc>
          <w:tcPr>
            <w:tcW w:type="dxa" w:w="4680"/>
            <w:tcBorders>
              <w:top w:val="single" w:color="CCCCCC" w:sz="2"/>
              <w:left w:val="single" w:color="CCCCCC" w:sz="2"/>
              <w:bottom w:val="single" w:color="CCCCCC" w:sz="2"/>
              <w:right w:val="single" w:color="CCCCCC" w:sz="2"/>
            </w:tcBorders>
            <w:tcMar>
              <w:top w:type="dxa" w:w="120"/>
              <w:left w:type="dxa" w:w="160"/>
              <w:bottom w:type="dxa" w:w="120"/>
              <w:right w:type="dxa" w:w="160"/>
            </w:tcMar>
          </w:tcPr>
          <w:p>
            <w:pPr>
              <w:spacing w:line="280"/>
            </w:pPr>
            <w:r>
              <w:rPr>
                <w:rFonts w:ascii="Calibri" w:cs="Calibri" w:eastAsia="Calibri" w:hAnsi="Calibri"/>
                <w:color w:val="222222"/>
                <w:sz w:val="20"/>
                <w:szCs w:val="20"/>
              </w:rPr>
              <w:t xml:space="preserve">Paid advertising effectively off-limits.</w:t>
            </w:r>
          </w:p>
        </w:tc>
        <w:tc>
          <w:tcPr>
            <w:tcW w:type="dxa" w:w="4680"/>
            <w:tcBorders>
              <w:top w:val="single" w:color="CCCCCC" w:sz="2"/>
              <w:left w:val="single" w:color="CCCCCC" w:sz="2"/>
              <w:bottom w:val="single" w:color="CCCCCC" w:sz="2"/>
              <w:right w:val="single" w:color="CCCCCC" w:sz="2"/>
            </w:tcBorders>
            <w:shd w:fill="F4F1EA" w:color="auto" w:val="clear"/>
            <w:tcMar>
              <w:top w:type="dxa" w:w="120"/>
              <w:left w:type="dxa" w:w="160"/>
              <w:bottom w:type="dxa" w:w="120"/>
              <w:right w:type="dxa" w:w="160"/>
            </w:tcMar>
          </w:tcPr>
          <w:p>
            <w:pPr>
              <w:spacing w:line="280"/>
            </w:pPr>
            <w:r>
              <w:rPr>
                <w:rFonts w:ascii="Calibri" w:cs="Calibri" w:eastAsia="Calibri" w:hAnsi="Calibri"/>
                <w:color w:val="222222"/>
                <w:sz w:val="20"/>
                <w:szCs w:val="20"/>
              </w:rPr>
              <w:t xml:space="preserve">Google Ads, LinkedIn Ads, sponsored content permitted — subject to Rules 5 &amp; 7.</w:t>
            </w:r>
          </w:p>
        </w:tc>
      </w:tr>
      <w:tr>
        <w:tc>
          <w:tcPr>
            <w:tcW w:type="dxa" w:w="4680"/>
            <w:tcBorders>
              <w:top w:val="single" w:color="CCCCCC" w:sz="2"/>
              <w:left w:val="single" w:color="CCCCCC" w:sz="2"/>
              <w:bottom w:val="single" w:color="CCCCCC" w:sz="2"/>
              <w:right w:val="single" w:color="CCCCCC" w:sz="2"/>
            </w:tcBorders>
            <w:tcMar>
              <w:top w:type="dxa" w:w="120"/>
              <w:left w:type="dxa" w:w="160"/>
              <w:bottom w:type="dxa" w:w="120"/>
              <w:right w:type="dxa" w:w="160"/>
            </w:tcMar>
          </w:tcPr>
          <w:p>
            <w:pPr>
              <w:spacing w:line="280"/>
            </w:pPr>
            <w:r>
              <w:rPr>
                <w:rFonts w:ascii="Calibri" w:cs="Calibri" w:eastAsia="Calibri" w:hAnsi="Calibri"/>
                <w:color w:val="222222"/>
                <w:sz w:val="20"/>
                <w:szCs w:val="20"/>
              </w:rPr>
              <w:t xml:space="preserve">Newsletters and client alerts restricted in distribution.</w:t>
            </w:r>
          </w:p>
        </w:tc>
        <w:tc>
          <w:tcPr>
            <w:tcW w:type="dxa" w:w="4680"/>
            <w:tcBorders>
              <w:top w:val="single" w:color="CCCCCC" w:sz="2"/>
              <w:left w:val="single" w:color="CCCCCC" w:sz="2"/>
              <w:bottom w:val="single" w:color="CCCCCC" w:sz="2"/>
              <w:right w:val="single" w:color="CCCCCC" w:sz="2"/>
            </w:tcBorders>
            <w:shd w:fill="F4F1EA" w:color="auto" w:val="clear"/>
            <w:tcMar>
              <w:top w:type="dxa" w:w="120"/>
              <w:left w:type="dxa" w:w="160"/>
              <w:bottom w:type="dxa" w:w="120"/>
              <w:right w:type="dxa" w:w="160"/>
            </w:tcMar>
          </w:tcPr>
          <w:p>
            <w:pPr>
              <w:spacing w:line="280"/>
            </w:pPr>
            <w:r>
              <w:rPr>
                <w:rFonts w:ascii="Calibri" w:cs="Calibri" w:eastAsia="Calibri" w:hAnsi="Calibri"/>
                <w:color w:val="222222"/>
                <w:sz w:val="20"/>
                <w:szCs w:val="20"/>
              </w:rPr>
              <w:t xml:space="preserve">Public-facing newsletters, client alerts and thought leadership permitted.</w:t>
            </w:r>
          </w:p>
        </w:tc>
      </w:tr>
    </w:tbl>
    <w:p>
      <w:pPr>
        <w:spacing w:after="140" w:before="0"/>
      </w:pPr>
      <w:r>
        <w:t xml:space="preserve"/>
      </w:r>
    </w:p>
    <w:p>
      <w:pPr>
        <w:pStyle w:val="Heading3"/>
        <w:spacing w:after="120" w:before="240"/>
      </w:pPr>
      <w:r>
        <w:rPr>
          <w:rFonts w:ascii="Calibri" w:cs="Calibri" w:eastAsia="Calibri" w:hAnsi="Calibri"/>
          <w:b/>
          <w:bCs/>
          <w:color w:val="1B2A4E"/>
          <w:sz w:val="26"/>
          <w:szCs w:val="26"/>
        </w:rPr>
        <w:t xml:space="preserve">What is Now Expressly Permitted</w:t>
      </w:r>
    </w:p>
    <w:p>
      <w:pPr>
        <w:spacing w:after="120" w:before="60" w:line="320"/>
        <w:jc w:val="left"/>
      </w:pPr>
      <w:r>
        <w:rPr>
          <w:rFonts w:ascii="Calibri" w:cs="Calibri" w:eastAsia="Calibri" w:hAnsi="Calibri"/>
          <w:color w:val="222222"/>
          <w:sz w:val="22"/>
          <w:szCs w:val="22"/>
        </w:rPr>
        <w:t xml:space="preserve">The definition of “publicise” in Rule 3(1) covers </w:t>
      </w:r>
      <w:r>
        <w:rPr>
          <w:rFonts w:ascii="Calibri" w:cs="Calibri" w:eastAsia="Calibri" w:hAnsi="Calibri"/>
          <w:b/>
          <w:bCs/>
          <w:color w:val="222222"/>
          <w:sz w:val="22"/>
          <w:szCs w:val="22"/>
        </w:rPr>
        <w:t xml:space="preserve">“any form or medium whether in printed or electronic form”</w:t>
      </w:r>
      <w:r>
        <w:rPr>
          <w:rFonts w:ascii="Calibri" w:cs="Calibri" w:eastAsia="Calibri" w:hAnsi="Calibri"/>
          <w:color w:val="222222"/>
          <w:sz w:val="22"/>
          <w:szCs w:val="22"/>
        </w:rPr>
        <w:t xml:space="preserve"> and </w:t>
      </w:r>
      <w:r>
        <w:rPr>
          <w:rFonts w:ascii="Calibri" w:cs="Calibri" w:eastAsia="Calibri" w:hAnsi="Calibri"/>
          <w:b/>
          <w:bCs/>
          <w:color w:val="222222"/>
          <w:sz w:val="22"/>
          <w:szCs w:val="22"/>
        </w:rPr>
        <w:t xml:space="preserve">“any exposure, whether paid for or not, in any public medium.”</w:t>
      </w:r>
      <w:r>
        <w:rPr>
          <w:rFonts w:ascii="Calibri" w:cs="Calibri" w:eastAsia="Calibri" w:hAnsi="Calibri"/>
          <w:color w:val="222222"/>
          <w:sz w:val="22"/>
          <w:szCs w:val="22"/>
        </w:rPr>
        <w:t xml:space="preserve"> In practical terms, that means:</w:t>
      </w:r>
    </w:p>
    <w:p>
      <w:pPr>
        <w:spacing w:after="120" w:before="60" w:line="320"/>
        <w:jc w:val="left"/>
      </w:pPr>
      <w:r>
        <w:rPr>
          <w:rFonts w:ascii="Calibri" w:cs="Calibri" w:eastAsia="Calibri" w:hAnsi="Calibri"/>
          <w:color w:val="222222"/>
          <w:sz w:val="22"/>
          <w:szCs w:val="22"/>
        </w:rPr>
        <w:t xml:space="preserve">A Malaysian law firm may now operate a substantive website, rank in Google search, publish newsletters and legal alerts to the public, maintain active LinkedIn and social media channels, run Google Ads and paid digital campaigns, produce podcasts and video, and claim specialisation in a practice area — provided the claim is justifiable on qualifications, experience, proportion of practice time, and level of success (Rule 6).</w:t>
      </w:r>
    </w:p>
    <w:p>
      <w:pPr>
        <w:spacing w:after="60" w:before="0"/>
      </w:pPr>
      <w:r>
        <w:t xml:space="preserve"/>
      </w:r>
    </w:p>
    <w:p>
      <w:pPr>
        <w:spacing w:after="60" w:before="120" w:line="320"/>
        <w:ind w:left="360" w:right="360"/>
      </w:pPr>
      <w:r>
        <w:rPr>
          <w:rFonts w:ascii="Calibri" w:cs="Calibri" w:eastAsia="Calibri" w:hAnsi="Calibri"/>
          <w:i/>
          <w:iCs/>
          <w:color w:val="1B2A4E"/>
          <w:sz w:val="24"/>
          <w:szCs w:val="24"/>
        </w:rPr>
        <w:t xml:space="preserve">"The field is definitely more level than before. The 2025 Rules give the small, smart boutique firms a voice. They can now compete on specialised knowledge and track record, rather than just relying on being a giant, expensive brand name."</w:t>
      </w:r>
    </w:p>
    <w:p>
      <w:pPr>
        <w:spacing w:after="120" w:before="0"/>
        <w:ind w:left="360" w:right="360"/>
      </w:pPr>
      <w:r>
        <w:rPr>
          <w:rFonts w:ascii="Calibri" w:cs="Calibri" w:eastAsia="Calibri" w:hAnsi="Calibri"/>
          <w:color w:val="666666"/>
          <w:sz w:val="20"/>
          <w:szCs w:val="20"/>
        </w:rPr>
        <w:t xml:space="preserve">— Kitson Foong, Senior Lawyer, Kit &amp; Associates (Free Malaysia Today, 9 January 2026)</w:t>
      </w:r>
    </w:p>
    <w:p>
      <w:pPr>
        <w:pStyle w:val="Heading3"/>
        <w:spacing w:after="120" w:before="240"/>
      </w:pPr>
      <w:r>
        <w:rPr>
          <w:rFonts w:ascii="Calibri" w:cs="Calibri" w:eastAsia="Calibri" w:hAnsi="Calibri"/>
          <w:b/>
          <w:bCs/>
          <w:color w:val="1B2A4E"/>
          <w:sz w:val="26"/>
          <w:szCs w:val="26"/>
        </w:rPr>
        <w:t xml:space="preserve">What Remains Prohibited</w:t>
      </w:r>
    </w:p>
    <w:p>
      <w:pPr>
        <w:spacing w:after="120" w:before="60" w:line="320"/>
        <w:jc w:val="left"/>
      </w:pPr>
      <w:r>
        <w:rPr>
          <w:rFonts w:ascii="Calibri" w:cs="Calibri" w:eastAsia="Calibri" w:hAnsi="Calibri"/>
          <w:color w:val="222222"/>
          <w:sz w:val="22"/>
          <w:szCs w:val="22"/>
        </w:rPr>
        <w:t xml:space="preserve">The Rules are permissive in medium but strict in substance. A firm still </w:t>
      </w:r>
      <w:r>
        <w:rPr>
          <w:rFonts w:ascii="Calibri" w:cs="Calibri" w:eastAsia="Calibri" w:hAnsi="Calibri"/>
          <w:b/>
          <w:bCs/>
          <w:color w:val="222222"/>
          <w:sz w:val="22"/>
          <w:szCs w:val="22"/>
        </w:rPr>
        <w:t xml:space="preserve">cannot</w:t>
      </w:r>
      <w:r>
        <w:rPr>
          <w:rFonts w:ascii="Calibri" w:cs="Calibri" w:eastAsia="Calibri" w:hAnsi="Calibri"/>
          <w:color w:val="222222"/>
          <w:sz w:val="22"/>
          <w:szCs w:val="22"/>
        </w:rPr>
        <w:t xml:space="preserve"> specify its fees in publicity, compare itself to other firms, reference cases in a way that breaches client confidentiality, or publish anything misleading, deceptive, or likely to create unjustified expectations about results (Rules 5 and 7). Touting remains prohibited under the Legal Profession (Practice and Etiquette) Rules 1978 and section 94(3)(h) of the Legal Profession Act 1976. And the Bar Council can now, after due inquiry, order a firm to alter, withdraw, or discontinue any improper publicity (Rule 9).</w:t>
      </w:r>
    </w:p>
    <w:p>
      <w:pPr>
        <w:spacing w:after="40" w:before="0"/>
      </w:pPr>
      <w:r>
        <w:t xml:space="preserve"/>
      </w:r>
    </w:p>
    <w:tbl>
      <w:tblPr>
        <w:tblW w:type="dxa" w:w="9360"/>
        <w:tblBorders>
          <w:top w:val="single" w:color="B8860B" w:sz="12"/>
          <w:left w:val="single" w:color="B8860B" w:sz="4"/>
          <w:bottom w:val="single" w:color="B8860B" w:sz="4"/>
          <w:right w:val="single" w:color="B8860B" w:sz="4"/>
          <w:insideH w:val="none" w:color="FFFFFF" w:sz="0"/>
          <w:insideV w:val="none" w:color="FFFFFF" w:sz="0"/>
        </w:tblBorders>
      </w:tblPr>
      <w:tblGrid>
        <w:gridCol w:w="9360"/>
      </w:tblGrid>
      <w:tr>
        <w:tc>
          <w:tcPr>
            <w:tcW w:type="dxa" w:w="9360"/>
            <w:shd w:fill="F4F1EA" w:color="auto" w:val="clear"/>
            <w:tcMar>
              <w:top w:type="dxa" w:w="200"/>
              <w:left w:type="dxa" w:w="280"/>
              <w:bottom w:type="dxa" w:w="200"/>
              <w:right w:type="dxa" w:w="280"/>
            </w:tcMar>
          </w:tcPr>
          <w:p>
            <w:pPr>
              <w:spacing w:after="0" w:before="0" w:line="320"/>
            </w:pPr>
            <w:r>
              <w:rPr>
                <w:rFonts w:ascii="Calibri" w:cs="Calibri" w:eastAsia="Calibri" w:hAnsi="Calibri"/>
                <w:color w:val="1B2A4E"/>
                <w:sz w:val="24"/>
                <w:szCs w:val="24"/>
              </w:rPr>
              <w:t xml:space="preserve">The line every Malaysian firm now has to walk: </w:t>
            </w:r>
            <w:r>
              <w:rPr>
                <w:rFonts w:ascii="Calibri" w:cs="Calibri" w:eastAsia="Calibri" w:hAnsi="Calibri"/>
                <w:b/>
                <w:bCs/>
                <w:i/>
                <w:iCs/>
                <w:color w:val="1B2A4E"/>
                <w:sz w:val="24"/>
                <w:szCs w:val="24"/>
              </w:rPr>
              <w:t xml:space="preserve">visible, but dignified. Findable, but verifiable.</w:t>
            </w:r>
            <w:r>
              <w:rPr>
                <w:rFonts w:ascii="Calibri" w:cs="Calibri" w:eastAsia="Calibri" w:hAnsi="Calibri"/>
                <w:color w:val="1B2A4E"/>
                <w:sz w:val="24"/>
                <w:szCs w:val="24"/>
              </w:rPr>
              <w:t xml:space="preserve"> That line is exactly what most digital agencies do not understand.</w:t>
            </w:r>
          </w:p>
        </w:tc>
      </w:tr>
    </w:tbl>
    <w:p>
      <w:pPr>
        <w:pStyle w:val="Heading2"/>
        <w:pBdr>
          <w:bottom w:val="single" w:color="B8860B" w:sz="8" w:space="4"/>
        </w:pBdr>
        <w:spacing w:after="160" w:before="360"/>
      </w:pPr>
      <w:r>
        <w:rPr>
          <w:rFonts w:ascii="Calibri" w:cs="Calibri" w:eastAsia="Calibri" w:hAnsi="Calibri"/>
          <w:b/>
          <w:bCs/>
          <w:color w:val="1B2A4E"/>
          <w:sz w:val="32"/>
          <w:szCs w:val="32"/>
        </w:rPr>
        <w:t xml:space="preserve">3. The Cost of Staying Invisible</w:t>
      </w:r>
    </w:p>
    <w:p>
      <w:pPr>
        <w:spacing w:after="120" w:before="60" w:line="320"/>
        <w:jc w:val="left"/>
      </w:pPr>
      <w:r>
        <w:rPr>
          <w:rFonts w:ascii="Calibri" w:cs="Calibri" w:eastAsia="Calibri" w:hAnsi="Calibri"/>
          <w:color w:val="222222"/>
          <w:sz w:val="22"/>
          <w:szCs w:val="22"/>
        </w:rPr>
        <w:t xml:space="preserve">If your firm has been waiting to “see how the rules settle,” consider what each month of waiting actually costs.</w:t>
      </w:r>
    </w:p>
    <w:p>
      <w:pPr>
        <w:spacing w:after="80" w:before="0"/>
      </w:pPr>
      <w:r>
        <w:t xml:space="preserve"/>
      </w:r>
    </w:p>
    <w:tbl>
      <w:tblPr>
        <w:tblW w:type="dxa" w:w="9360"/>
        <w:tblBorders>
          <w:top w:val="single" w:color="CCCCCC" w:sz="2"/>
          <w:left w:val="single" w:color="B8860B" w:sz="12"/>
          <w:bottom w:val="single" w:color="CCCCCC" w:sz="2"/>
          <w:right w:val="single" w:color="CCCCCC" w:sz="2"/>
          <w:insideH w:val="none" w:color="FFFFFF" w:sz="0"/>
          <w:insideV w:val="none" w:color="FFFFFF" w:sz="0"/>
        </w:tblBorders>
      </w:tblPr>
      <w:tblGrid>
        <w:gridCol w:w="9360"/>
      </w:tblGrid>
      <w:tr>
        <w:tc>
          <w:tcPr>
            <w:tcW w:type="dxa" w:w="9360"/>
            <w:shd w:fill="EEF2F7" w:color="auto" w:val="clear"/>
            <w:tcMar>
              <w:top w:type="dxa" w:w="200"/>
              <w:left w:type="dxa" w:w="280"/>
              <w:bottom w:type="dxa" w:w="200"/>
              <w:right w:type="dxa" w:w="280"/>
            </w:tcMar>
          </w:tcPr>
          <w:p>
            <w:pPr>
              <w:spacing w:after="80" w:before="0"/>
            </w:pPr>
            <w:r>
              <w:rPr>
                <w:rFonts w:ascii="Calibri" w:cs="Calibri" w:eastAsia="Calibri" w:hAnsi="Calibri"/>
                <w:b/>
                <w:bCs/>
                <w:color w:val="1B2A4E"/>
                <w:sz w:val="40"/>
                <w:szCs w:val="40"/>
              </w:rPr>
              <w:t xml:space="preserve">92.4% / 93.3%</w:t>
            </w:r>
          </w:p>
          <w:p>
            <w:pPr>
              <w:spacing w:after="60" w:before="0" w:line="300"/>
            </w:pPr>
            <w:r>
              <w:rPr>
                <w:rFonts w:ascii="Calibri" w:cs="Calibri" w:eastAsia="Calibri" w:hAnsi="Calibri"/>
                <w:color w:val="222222"/>
                <w:sz w:val="22"/>
                <w:szCs w:val="22"/>
              </w:rPr>
              <w:t xml:space="preserve">Research their legal issue online before contacting an attorney. Do further research on an attorney they find through a search engine before hiring.</w:t>
            </w:r>
          </w:p>
          <w:p>
            <w:pPr>
              <w:spacing w:after="0" w:before="0"/>
            </w:pPr>
            <w:r>
              <w:rPr>
                <w:rFonts w:ascii="Calibri" w:cs="Calibri" w:eastAsia="Calibri" w:hAnsi="Calibri"/>
                <w:i/>
                <w:iCs/>
                <w:color w:val="666666"/>
                <w:sz w:val="18"/>
                <w:szCs w:val="18"/>
              </w:rPr>
              <w:t xml:space="preserve">Martindale-Avvo, Understanding the Legal Consumer 2024</w:t>
            </w:r>
          </w:p>
        </w:tc>
      </w:tr>
    </w:tbl>
    <w:p>
      <w:pPr>
        <w:spacing w:after="120" w:before="0"/>
      </w:pPr>
      <w:r>
        <w:t xml:space="preserve"/>
      </w:r>
    </w:p>
    <w:p>
      <w:pPr>
        <w:spacing w:after="120" w:before="60" w:line="320"/>
        <w:jc w:val="left"/>
      </w:pPr>
      <w:r>
        <w:rPr>
          <w:rFonts w:ascii="Calibri" w:cs="Calibri" w:eastAsia="Calibri" w:hAnsi="Calibri"/>
          <w:color w:val="222222"/>
          <w:sz w:val="22"/>
          <w:szCs w:val="22"/>
        </w:rPr>
        <w:t xml:space="preserve">When a prospect searches “commercial litigation lawyer KL” or “corporate lawyer Petaling Jaya,” one of two things happens: they find you, or they find the firm down the road that invested in being findable.</w:t>
      </w:r>
    </w:p>
    <w:p>
      <w:pPr>
        <w:spacing w:after="120" w:before="0"/>
      </w:pPr>
      <w:r>
        <w:t xml:space="preserve"/>
      </w:r>
    </w:p>
    <w:tbl>
      <w:tblPr>
        <w:tblW w:type="dxa" w:w="9360"/>
        <w:tblBorders>
          <w:top w:val="single" w:color="CCCCCC" w:sz="2"/>
          <w:left w:val="single" w:color="B8860B" w:sz="12"/>
          <w:bottom w:val="single" w:color="CCCCCC" w:sz="2"/>
          <w:right w:val="single" w:color="CCCCCC" w:sz="2"/>
          <w:insideH w:val="none" w:color="FFFFFF" w:sz="0"/>
          <w:insideV w:val="none" w:color="FFFFFF" w:sz="0"/>
        </w:tblBorders>
      </w:tblPr>
      <w:tblGrid>
        <w:gridCol w:w="9360"/>
      </w:tblGrid>
      <w:tr>
        <w:tc>
          <w:tcPr>
            <w:tcW w:type="dxa" w:w="9360"/>
            <w:shd w:fill="EEF2F7" w:color="auto" w:val="clear"/>
            <w:tcMar>
              <w:top w:type="dxa" w:w="200"/>
              <w:left w:type="dxa" w:w="280"/>
              <w:bottom w:type="dxa" w:w="200"/>
              <w:right w:type="dxa" w:w="280"/>
            </w:tcMar>
          </w:tcPr>
          <w:p>
            <w:pPr>
              <w:spacing w:after="80" w:before="0"/>
            </w:pPr>
            <w:r>
              <w:rPr>
                <w:rFonts w:ascii="Calibri" w:cs="Calibri" w:eastAsia="Calibri" w:hAnsi="Calibri"/>
                <w:b/>
                <w:bCs/>
                <w:color w:val="1B2A4E"/>
                <w:sz w:val="40"/>
                <w:szCs w:val="40"/>
              </w:rPr>
              <w:t xml:space="preserve">82% / 40%</w:t>
            </w:r>
          </w:p>
          <w:p>
            <w:pPr>
              <w:spacing w:after="60" w:before="0" w:line="300"/>
            </w:pPr>
            <w:r>
              <w:rPr>
                <w:rFonts w:ascii="Calibri" w:cs="Calibri" w:eastAsia="Calibri" w:hAnsi="Calibri"/>
                <w:color w:val="222222"/>
                <w:sz w:val="22"/>
                <w:szCs w:val="22"/>
              </w:rPr>
              <w:t xml:space="preserve">Of consumers who identified an attorney online checked the attorney's online reviews. 40% said reviews were their primary decision factor.</w:t>
            </w:r>
          </w:p>
          <w:p>
            <w:pPr>
              <w:spacing w:after="0" w:before="0"/>
            </w:pPr>
            <w:r>
              <w:rPr>
                <w:rFonts w:ascii="Calibri" w:cs="Calibri" w:eastAsia="Calibri" w:hAnsi="Calibri"/>
                <w:i/>
                <w:iCs/>
                <w:color w:val="666666"/>
                <w:sz w:val="18"/>
                <w:szCs w:val="18"/>
              </w:rPr>
              <w:t xml:space="preserve">Thomson Reuters / FindLaw, U.S. Consumer Legal Needs Survey 2024</w:t>
            </w:r>
          </w:p>
        </w:tc>
      </w:tr>
    </w:tbl>
    <w:p>
      <w:pPr>
        <w:spacing w:after="120" w:before="0"/>
      </w:pPr>
      <w:r>
        <w:t xml:space="preserve"/>
      </w:r>
    </w:p>
    <w:p>
      <w:pPr>
        <w:spacing w:after="120" w:before="60" w:line="320"/>
        <w:jc w:val="left"/>
      </w:pPr>
      <w:r>
        <w:rPr>
          <w:rFonts w:ascii="Calibri" w:cs="Calibri" w:eastAsia="Calibri" w:hAnsi="Calibri"/>
          <w:color w:val="222222"/>
          <w:sz w:val="22"/>
          <w:szCs w:val="22"/>
        </w:rPr>
        <w:t xml:space="preserve">A firm with no Google Business Profile, no reviews, and a 2014-era website is not neutral in that moment — it is actively disqualifying itself.</w:t>
      </w:r>
    </w:p>
    <w:p>
      <w:pPr>
        <w:spacing w:after="120" w:before="0"/>
      </w:pPr>
      <w:r>
        <w:t xml:space="preserve"/>
      </w:r>
    </w:p>
    <w:tbl>
      <w:tblPr>
        <w:tblW w:type="dxa" w:w="9360"/>
        <w:tblBorders>
          <w:top w:val="single" w:color="CCCCCC" w:sz="2"/>
          <w:left w:val="single" w:color="B8860B" w:sz="12"/>
          <w:bottom w:val="single" w:color="CCCCCC" w:sz="2"/>
          <w:right w:val="single" w:color="CCCCCC" w:sz="2"/>
          <w:insideH w:val="none" w:color="FFFFFF" w:sz="0"/>
          <w:insideV w:val="none" w:color="FFFFFF" w:sz="0"/>
        </w:tblBorders>
      </w:tblPr>
      <w:tblGrid>
        <w:gridCol w:w="9360"/>
      </w:tblGrid>
      <w:tr>
        <w:tc>
          <w:tcPr>
            <w:tcW w:type="dxa" w:w="9360"/>
            <w:shd w:fill="EEF2F7" w:color="auto" w:val="clear"/>
            <w:tcMar>
              <w:top w:type="dxa" w:w="200"/>
              <w:left w:type="dxa" w:w="280"/>
              <w:bottom w:type="dxa" w:w="200"/>
              <w:right w:type="dxa" w:w="280"/>
            </w:tcMar>
          </w:tcPr>
          <w:p>
            <w:pPr>
              <w:spacing w:after="80" w:before="0"/>
            </w:pPr>
            <w:r>
              <w:rPr>
                <w:rFonts w:ascii="Calibri" w:cs="Calibri" w:eastAsia="Calibri" w:hAnsi="Calibri"/>
                <w:b/>
                <w:bCs/>
                <w:color w:val="1B2A4E"/>
                <w:sz w:val="40"/>
                <w:szCs w:val="40"/>
              </w:rPr>
              <w:t xml:space="preserve">48%</w:t>
            </w:r>
          </w:p>
          <w:p>
            <w:pPr>
              <w:spacing w:after="60" w:before="0" w:line="300"/>
            </w:pPr>
            <w:r>
              <w:rPr>
                <w:rFonts w:ascii="Calibri" w:cs="Calibri" w:eastAsia="Calibri" w:hAnsi="Calibri"/>
                <w:color w:val="222222"/>
                <w:sz w:val="22"/>
                <w:szCs w:val="22"/>
              </w:rPr>
              <w:t xml:space="preserve">Of law firms were "essentially unreachable" in Clio's 2024 secret-shopper study. Only 33% responded to email enquiries; only 40% answered phone calls. 80% of legal consumers move on if not responded to within 48 hours.</w:t>
            </w:r>
          </w:p>
          <w:p>
            <w:pPr>
              <w:spacing w:after="0" w:before="0"/>
            </w:pPr>
            <w:r>
              <w:rPr>
                <w:rFonts w:ascii="Calibri" w:cs="Calibri" w:eastAsia="Calibri" w:hAnsi="Calibri"/>
                <w:i/>
                <w:iCs/>
                <w:color w:val="666666"/>
                <w:sz w:val="18"/>
                <w:szCs w:val="18"/>
              </w:rPr>
              <w:t xml:space="preserve">Clio, 2024 Legal Trends Report · Martindale-Avvo 2023</w:t>
            </w:r>
          </w:p>
        </w:tc>
      </w:tr>
    </w:tbl>
    <w:p>
      <w:pPr>
        <w:spacing w:after="120" w:before="0"/>
      </w:pPr>
      <w:r>
        <w:t xml:space="preserve"/>
      </w:r>
    </w:p>
    <w:p>
      <w:pPr>
        <w:spacing w:after="120" w:before="60" w:line="320"/>
        <w:jc w:val="left"/>
      </w:pPr>
      <w:r>
        <w:rPr>
          <w:rFonts w:ascii="Calibri" w:cs="Calibri" w:eastAsia="Calibri" w:hAnsi="Calibri"/>
          <w:color w:val="222222"/>
          <w:sz w:val="22"/>
          <w:szCs w:val="22"/>
        </w:rPr>
        <w:t xml:space="preserve">The bar for winning enquiries today is embarrassingly low — and most firms still fail to clear it.</w:t>
      </w:r>
    </w:p>
    <w:p>
      <w:pPr>
        <w:spacing w:after="120" w:before="0"/>
      </w:pPr>
      <w:r>
        <w:t xml:space="preserve"/>
      </w:r>
    </w:p>
    <w:p>
      <w:pPr>
        <w:pStyle w:val="Heading4"/>
        <w:spacing w:after="80" w:before="200"/>
      </w:pPr>
      <w:r>
        <w:rPr>
          <w:rFonts w:ascii="Calibri" w:cs="Calibri" w:eastAsia="Calibri" w:hAnsi="Calibri"/>
          <w:b/>
          <w:bCs/>
          <w:color w:val="1B2A4E"/>
          <w:sz w:val="22"/>
          <w:szCs w:val="22"/>
        </w:rPr>
        <w:t xml:space="preserve">Your partners are ageing; your successors are not waiting.</w:t>
      </w:r>
    </w:p>
    <w:p>
      <w:pPr>
        <w:spacing w:after="120" w:before="60" w:line="320"/>
        <w:jc w:val="left"/>
      </w:pPr>
      <w:r>
        <w:rPr>
          <w:rFonts w:ascii="Calibri" w:cs="Calibri" w:eastAsia="Calibri" w:hAnsi="Calibri"/>
          <w:color w:val="222222"/>
          <w:sz w:val="22"/>
          <w:szCs w:val="22"/>
        </w:rPr>
        <w:t xml:space="preserve">Roughly half of the Malaysian Bar has under 12 years in practice (Malaysian Bar, General Statistics 2025). That cohort expects to join firms with visible brands, professional digital infrastructure, and a pipeline of inbound work that does not depend entirely on one founding partner's personal relationships. A firm that cannot articulate itself online will struggle to recruit — and struggle even more to sell itself to a successor.</w:t>
      </w:r>
    </w:p>
    <w:p>
      <w:pPr>
        <w:spacing w:after="60" w:before="0"/>
      </w:pPr>
      <w:r>
        <w:t xml:space="preserve"/>
      </w:r>
    </w:p>
    <w:tbl>
      <w:tblPr>
        <w:tblW w:type="dxa" w:w="9360"/>
        <w:tblBorders>
          <w:top w:val="single" w:color="B8860B" w:sz="12"/>
          <w:left w:val="single" w:color="B8860B" w:sz="4"/>
          <w:bottom w:val="single" w:color="B8860B" w:sz="4"/>
          <w:right w:val="single" w:color="B8860B" w:sz="4"/>
          <w:insideH w:val="none" w:color="FFFFFF" w:sz="0"/>
          <w:insideV w:val="none" w:color="FFFFFF" w:sz="0"/>
        </w:tblBorders>
      </w:tblPr>
      <w:tblGrid>
        <w:gridCol w:w="9360"/>
      </w:tblGrid>
      <w:tr>
        <w:tc>
          <w:tcPr>
            <w:tcW w:type="dxa" w:w="9360"/>
            <w:shd w:fill="F4F1EA" w:color="auto" w:val="clear"/>
            <w:tcMar>
              <w:top w:type="dxa" w:w="200"/>
              <w:left w:type="dxa" w:w="280"/>
              <w:bottom w:type="dxa" w:w="200"/>
              <w:right w:type="dxa" w:w="280"/>
            </w:tcMar>
          </w:tcPr>
          <w:p>
            <w:pPr>
              <w:spacing w:after="0" w:before="0" w:line="320"/>
            </w:pPr>
            <w:r>
              <w:rPr>
                <w:rFonts w:ascii="Calibri" w:cs="Calibri" w:eastAsia="Calibri" w:hAnsi="Calibri"/>
                <w:color w:val="222222"/>
                <w:sz w:val="22"/>
                <w:szCs w:val="22"/>
              </w:rPr>
              <w:t xml:space="preserve">Every quarter you wait, the compounding gap grows. SEO rewards incumbency. Social proof accumulates over years, not weeks. </w:t>
            </w:r>
            <w:r>
              <w:rPr>
                <w:rFonts w:ascii="Calibri" w:cs="Calibri" w:eastAsia="Calibri" w:hAnsi="Calibri"/>
                <w:b/>
                <w:bCs/>
                <w:color w:val="1B2A4E"/>
                <w:sz w:val="22"/>
                <w:szCs w:val="22"/>
              </w:rPr>
              <w:t xml:space="preserve">The firms publishing their first client alert in January 2026 will have a two-year head start by the time you decide.</w:t>
            </w:r>
          </w:p>
        </w:tc>
      </w:tr>
    </w:tbl>
    <w:p>
      <w:pPr>
        <w:pStyle w:val="Heading2"/>
        <w:pBdr>
          <w:bottom w:val="single" w:color="B8860B" w:sz="8" w:space="4"/>
        </w:pBdr>
        <w:spacing w:after="160" w:before="360"/>
      </w:pPr>
      <w:r>
        <w:rPr>
          <w:rFonts w:ascii="Calibri" w:cs="Calibri" w:eastAsia="Calibri" w:hAnsi="Calibri"/>
          <w:b/>
          <w:bCs/>
          <w:color w:val="1B2A4E"/>
          <w:sz w:val="32"/>
          <w:szCs w:val="32"/>
        </w:rPr>
        <w:t xml:space="preserve">4. How Malaysian Clients Now Choose Lawyers</w:t>
      </w:r>
    </w:p>
    <w:p>
      <w:pPr>
        <w:spacing w:after="120" w:before="60" w:line="320"/>
        <w:jc w:val="left"/>
      </w:pPr>
      <w:r>
        <w:rPr>
          <w:rFonts w:ascii="Calibri" w:cs="Calibri" w:eastAsia="Calibri" w:hAnsi="Calibri"/>
          <w:color w:val="222222"/>
          <w:sz w:val="22"/>
          <w:szCs w:val="22"/>
        </w:rPr>
        <w:t xml:space="preserve">The 2025 Rules did not change client behaviour. They changed what your firm is permitted to do in response to client behaviour that has been shifting for a decade.</w:t>
      </w:r>
    </w:p>
    <w:p>
      <w:pPr>
        <w:pStyle w:val="Heading3"/>
        <w:spacing w:after="120" w:before="240"/>
      </w:pPr>
      <w:r>
        <w:rPr>
          <w:rFonts w:ascii="Calibri" w:cs="Calibri" w:eastAsia="Calibri" w:hAnsi="Calibri"/>
          <w:b/>
          <w:bCs/>
          <w:color w:val="1B2A4E"/>
          <w:sz w:val="26"/>
          <w:szCs w:val="26"/>
        </w:rPr>
        <w:t xml:space="preserve">The research journey is online and multi-firm</w:t>
      </w:r>
    </w:p>
    <w:p>
      <w:pPr>
        <w:spacing w:after="120" w:before="60" w:line="320"/>
        <w:jc w:val="left"/>
      </w:pPr>
      <w:r>
        <w:rPr>
          <w:rFonts w:ascii="Calibri" w:cs="Calibri" w:eastAsia="Calibri" w:hAnsi="Calibri"/>
          <w:color w:val="222222"/>
          <w:sz w:val="22"/>
          <w:szCs w:val="22"/>
        </w:rPr>
        <w:t xml:space="preserve">Martindale-Avvo's 2024 data shows that 55.1% of consumers who hired a lawyer contacted two to three attorneys first, and only around 10% hired the first lawyer they contacted. A separate 2024 study found that nearly 98% of consumers want to speak with two or more firms before deciding, and roughly 80% want to speak with three or more (iLawyerMarketing, 2024).</w:t>
      </w:r>
    </w:p>
    <w:p>
      <w:pPr>
        <w:spacing w:after="120" w:before="60" w:line="320"/>
        <w:jc w:val="left"/>
      </w:pPr>
      <w:r>
        <w:rPr>
          <w:rFonts w:ascii="Calibri" w:cs="Calibri" w:eastAsia="Calibri" w:hAnsi="Calibri"/>
          <w:b/>
          <w:bCs/>
          <w:color w:val="222222"/>
          <w:sz w:val="22"/>
          <w:szCs w:val="22"/>
        </w:rPr>
        <w:t xml:space="preserve">Your firm is not competing with one competitor on any given enquiry. It is competing with a shortlist.</w:t>
      </w:r>
    </w:p>
    <w:p>
      <w:pPr>
        <w:pStyle w:val="Heading3"/>
        <w:spacing w:after="120" w:before="240"/>
      </w:pPr>
      <w:r>
        <w:rPr>
          <w:rFonts w:ascii="Calibri" w:cs="Calibri" w:eastAsia="Calibri" w:hAnsi="Calibri"/>
          <w:b/>
          <w:bCs/>
          <w:color w:val="1B2A4E"/>
          <w:sz w:val="26"/>
          <w:szCs w:val="26"/>
        </w:rPr>
        <w:t xml:space="preserve">Reviews and ratings are gatekeepers</w:t>
      </w:r>
    </w:p>
    <w:p>
      <w:pPr>
        <w:pStyle w:val="ListParagraph"/>
        <w:numPr>
          <w:ilvl w:val="0"/>
          <w:numId w:val="2"/>
        </w:numPr>
        <w:spacing w:after="80" w:before="40" w:line="300"/>
      </w:pPr>
      <w:r>
        <w:rPr>
          <w:rFonts w:ascii="Calibri" w:cs="Calibri" w:eastAsia="Calibri" w:hAnsi="Calibri"/>
          <w:color w:val="222222"/>
          <w:sz w:val="22"/>
          <w:szCs w:val="22"/>
        </w:rPr>
        <w:t xml:space="preserve">89% of consumers will not hire a law firm with an average rating below four stars (iLawyerMarketing, 2024).</w:t>
      </w:r>
    </w:p>
    <w:p>
      <w:pPr>
        <w:pStyle w:val="ListParagraph"/>
        <w:numPr>
          <w:ilvl w:val="0"/>
          <w:numId w:val="2"/>
        </w:numPr>
        <w:spacing w:after="80" w:before="40" w:line="300"/>
      </w:pPr>
      <w:r>
        <w:rPr>
          <w:rFonts w:ascii="Calibri" w:cs="Calibri" w:eastAsia="Calibri" w:hAnsi="Calibri"/>
          <w:color w:val="222222"/>
          <w:sz w:val="22"/>
          <w:szCs w:val="22"/>
        </w:rPr>
        <w:t xml:space="preserve">88% of consumers say they would use a business that responds to all its reviews, compared with just 47% for one that does not respond at all (BrightLocal Local Consumer Review Survey 2024).</w:t>
      </w:r>
    </w:p>
    <w:p>
      <w:pPr>
        <w:pStyle w:val="Heading3"/>
        <w:spacing w:after="120" w:before="240"/>
      </w:pPr>
      <w:r>
        <w:rPr>
          <w:rFonts w:ascii="Calibri" w:cs="Calibri" w:eastAsia="Calibri" w:hAnsi="Calibri"/>
          <w:b/>
          <w:bCs/>
          <w:color w:val="1B2A4E"/>
          <w:sz w:val="26"/>
          <w:szCs w:val="26"/>
        </w:rPr>
        <w:t xml:space="preserve">Corporate clients behave similarly — with an added layer</w:t>
      </w:r>
    </w:p>
    <w:p>
      <w:pPr>
        <w:spacing w:after="120" w:before="60" w:line="320"/>
        <w:jc w:val="left"/>
      </w:pPr>
      <w:r>
        <w:rPr>
          <w:rFonts w:ascii="Calibri" w:cs="Calibri" w:eastAsia="Calibri" w:hAnsi="Calibri"/>
          <w:color w:val="222222"/>
          <w:sz w:val="22"/>
          <w:szCs w:val="22"/>
        </w:rPr>
        <w:t xml:space="preserve">BTI Consulting Group's long-running research on Fortune 1000 General Counsel finds that roughly 79% of corporate clients plan to bypass formal RFPs and cherry-pick firms from referrals and thought leadership (BTI Consulting, 2025).</w:t>
      </w:r>
    </w:p>
    <w:p>
      <w:pPr>
        <w:spacing w:after="120" w:before="60" w:line="320"/>
        <w:jc w:val="left"/>
      </w:pPr>
      <w:r>
        <w:rPr>
          <w:rFonts w:ascii="Calibri" w:cs="Calibri" w:eastAsia="Calibri" w:hAnsi="Calibri"/>
          <w:color w:val="222222"/>
          <w:sz w:val="22"/>
          <w:szCs w:val="22"/>
        </w:rPr>
        <w:t xml:space="preserve">The Greentarget / Zeughauser Group State of Digital &amp; Content Marketing Survey reports that 71% of in-house counsel cite articles and speeches from thought leaders as important when researching firms for hire, and 64% treat firm blogs and websites as important research tools — up from 50% in 2019.</w:t>
      </w:r>
    </w:p>
    <w:p>
      <w:pPr>
        <w:spacing w:after="120" w:before="60" w:line="320"/>
        <w:jc w:val="left"/>
      </w:pPr>
      <w:r>
        <w:rPr>
          <w:rFonts w:ascii="Calibri" w:cs="Calibri" w:eastAsia="Calibri" w:hAnsi="Calibri"/>
          <w:b/>
          <w:bCs/>
          <w:color w:val="222222"/>
          <w:sz w:val="22"/>
          <w:szCs w:val="22"/>
        </w:rPr>
        <w:t xml:space="preserve">Thought leadership is not optional for firms that want corporate work.</w:t>
      </w:r>
      <w:r>
        <w:rPr>
          <w:rFonts w:ascii="Calibri" w:cs="Calibri" w:eastAsia="Calibri" w:hAnsi="Calibri"/>
          <w:color w:val="222222"/>
          <w:sz w:val="22"/>
          <w:szCs w:val="22"/>
        </w:rPr>
        <w:t xml:space="preserve"> It is the shortlisting mechanism.</w:t>
      </w:r>
    </w:p>
    <w:p>
      <w:pPr>
        <w:pStyle w:val="Heading3"/>
        <w:spacing w:after="120" w:before="240"/>
      </w:pPr>
      <w:r>
        <w:rPr>
          <w:rFonts w:ascii="Calibri" w:cs="Calibri" w:eastAsia="Calibri" w:hAnsi="Calibri"/>
          <w:b/>
          <w:bCs/>
          <w:color w:val="1B2A4E"/>
          <w:sz w:val="26"/>
          <w:szCs w:val="26"/>
        </w:rPr>
        <w:t xml:space="preserve">The Malaysian context, specifically</w:t>
      </w:r>
    </w:p>
    <w:p>
      <w:pPr>
        <w:spacing w:after="120" w:before="60" w:line="320"/>
        <w:jc w:val="left"/>
      </w:pPr>
      <w:r>
        <w:rPr>
          <w:rFonts w:ascii="Calibri" w:cs="Calibri" w:eastAsia="Calibri" w:hAnsi="Calibri"/>
          <w:color w:val="222222"/>
          <w:sz w:val="22"/>
          <w:szCs w:val="22"/>
        </w:rPr>
        <w:t xml:space="preserve">The Malaysian Bar had 24,832 practising members in 7,551 firms as at 30 June 2025 (Malaysian Bar, General Statistics 2025). 88% of those firms have between one and five lawyers. That long tail is competing for attention with effectively the same tools: a Google search result, a LinkedIn profile, a website a prospect can scan in 90 seconds. The firms that invest in those tools — now that the rules permit it — will concentrate the enquiries.</w:t>
      </w:r>
    </w:p>
    <w:p>
      <w:pPr>
        <w:pStyle w:val="Heading2"/>
        <w:pBdr>
          <w:bottom w:val="single" w:color="B8860B" w:sz="8" w:space="4"/>
        </w:pBdr>
        <w:spacing w:after="160" w:before="360"/>
      </w:pPr>
      <w:r>
        <w:rPr>
          <w:rFonts w:ascii="Calibri" w:cs="Calibri" w:eastAsia="Calibri" w:hAnsi="Calibri"/>
          <w:b/>
          <w:bCs/>
          <w:color w:val="1B2A4E"/>
          <w:sz w:val="32"/>
          <w:szCs w:val="32"/>
        </w:rPr>
        <w:t xml:space="preserve">5. What Leading Jurisdictions Already Built</w:t>
      </w:r>
    </w:p>
    <w:p>
      <w:pPr>
        <w:spacing w:after="120" w:before="60" w:line="320"/>
        <w:jc w:val="left"/>
      </w:pPr>
      <w:r>
        <w:rPr>
          <w:rFonts w:ascii="Calibri" w:cs="Calibri" w:eastAsia="Calibri" w:hAnsi="Calibri"/>
          <w:color w:val="222222"/>
          <w:sz w:val="22"/>
          <w:szCs w:val="22"/>
        </w:rPr>
        <w:t xml:space="preserve">While Malaysian firms waited for regulatory clarity, the firms in the markets Malaysian corporate clients most often benchmark against did not.</w:t>
      </w:r>
    </w:p>
    <w:p>
      <w:pPr>
        <w:pStyle w:val="Heading3"/>
        <w:spacing w:after="120" w:before="240"/>
      </w:pPr>
      <w:r>
        <w:rPr>
          <w:rFonts w:ascii="Calibri" w:cs="Calibri" w:eastAsia="Calibri" w:hAnsi="Calibri"/>
          <w:b/>
          <w:bCs/>
          <w:color w:val="1B2A4E"/>
          <w:sz w:val="26"/>
          <w:szCs w:val="26"/>
        </w:rPr>
        <w:t xml:space="preserve">Singapore — the closest comparator</w:t>
      </w:r>
    </w:p>
    <w:p>
      <w:pPr>
        <w:spacing w:after="120" w:before="60" w:line="320"/>
        <w:jc w:val="left"/>
      </w:pPr>
      <w:r>
        <w:rPr>
          <w:rFonts w:ascii="Calibri" w:cs="Calibri" w:eastAsia="Calibri" w:hAnsi="Calibri"/>
          <w:color w:val="222222"/>
          <w:sz w:val="22"/>
          <w:szCs w:val="22"/>
        </w:rPr>
        <w:t xml:space="preserve">Allen &amp; Gledhill, Rajah &amp; Tann, WongPartnership, Drew &amp; Napier, Dentons Rodyk and Lee &amp; Lee each operate full-featured websites with dedicated insights and publications hubs, active LinkedIn company pages with regular posting cadence, client alert programmes, webinars and — increasingly — podcasts. Rajah &amp; Tann Asia runs a virtual law academy and a dedicated technology arm.</w:t>
      </w:r>
    </w:p>
    <w:p>
      <w:pPr>
        <w:spacing w:after="120" w:before="60" w:line="320"/>
        <w:jc w:val="left"/>
      </w:pPr>
      <w:r>
        <w:rPr>
          <w:rFonts w:ascii="Calibri" w:cs="Calibri" w:eastAsia="Calibri" w:hAnsi="Calibri"/>
          <w:color w:val="222222"/>
          <w:sz w:val="22"/>
          <w:szCs w:val="22"/>
        </w:rPr>
        <w:t xml:space="preserve">An industry estimate puts the share of Singapore legal clients who research law firms online before first contact at over 70%, with 65% of legal-service queries coming from mobile devices (Hashmeta, 2025).</w:t>
      </w:r>
    </w:p>
    <w:p>
      <w:pPr>
        <w:pStyle w:val="Heading3"/>
        <w:spacing w:after="120" w:before="240"/>
      </w:pPr>
      <w:r>
        <w:rPr>
          <w:rFonts w:ascii="Calibri" w:cs="Calibri" w:eastAsia="Calibri" w:hAnsi="Calibri"/>
          <w:b/>
          <w:bCs/>
          <w:color w:val="1B2A4E"/>
          <w:sz w:val="26"/>
          <w:szCs w:val="26"/>
        </w:rPr>
        <w:t xml:space="preserve">United States and United Kingdom</w:t>
      </w:r>
    </w:p>
    <w:p>
      <w:pPr>
        <w:spacing w:after="120" w:before="60" w:line="320"/>
        <w:jc w:val="left"/>
      </w:pPr>
      <w:r>
        <w:rPr>
          <w:rFonts w:ascii="Calibri" w:cs="Calibri" w:eastAsia="Calibri" w:hAnsi="Calibri"/>
          <w:color w:val="222222"/>
          <w:sz w:val="22"/>
          <w:szCs w:val="22"/>
        </w:rPr>
        <w:t xml:space="preserve">The American Bar Association's 2024 Legal Technology Survey found that 80% of US law firms maintain a social media presence, and 78% use LinkedIn (ABA, 2024). 31% of lawyers who use social media professionally report gaining a client directly or by referral through those channels (ABA 2023 Websites &amp; Marketing TechReport). 35% of firms report that a client has retained them directly through the firm's website (ABA, 2023).</w:t>
      </w:r>
    </w:p>
    <w:p>
      <w:pPr>
        <w:pStyle w:val="Heading3"/>
        <w:spacing w:after="120" w:before="240"/>
      </w:pPr>
      <w:r>
        <w:rPr>
          <w:rFonts w:ascii="Calibri" w:cs="Calibri" w:eastAsia="Calibri" w:hAnsi="Calibri"/>
          <w:b/>
          <w:bCs/>
          <w:color w:val="1B2A4E"/>
          <w:sz w:val="26"/>
          <w:szCs w:val="26"/>
        </w:rPr>
        <w:t xml:space="preserve">Artificial intelligence has compressed the timeline</w:t>
      </w:r>
    </w:p>
    <w:p>
      <w:pPr>
        <w:spacing w:after="120" w:before="60" w:line="320"/>
        <w:jc w:val="left"/>
      </w:pPr>
      <w:r>
        <w:rPr>
          <w:rFonts w:ascii="Calibri" w:cs="Calibri" w:eastAsia="Calibri" w:hAnsi="Calibri"/>
          <w:color w:val="222222"/>
          <w:sz w:val="22"/>
          <w:szCs w:val="22"/>
        </w:rPr>
        <w:t xml:space="preserve">79% of legal professionals globally now use AI in some capacity, up from 19% the year before — a near-60-point jump in a single year (Clio, 2024 Legal Trends Report). The 2025 edition finds that a growing majority of consumers would look for their next lawyer online, and that growing firms are 18% more likely to adopt modern client-facing technology such as electronic payments, online scheduling, and automated communications. Clients increasingly ask AI chatbots for legal guidance before they ask a human — 28% of those consumers are then directed to contact a lawyer.</w:t>
      </w:r>
    </w:p>
    <w:p>
      <w:pPr>
        <w:spacing w:after="120" w:before="60" w:line="320"/>
        <w:jc w:val="left"/>
      </w:pPr>
      <w:r>
        <w:rPr>
          <w:rFonts w:ascii="Calibri" w:cs="Calibri" w:eastAsia="Calibri" w:hAnsi="Calibri"/>
          <w:b/>
          <w:bCs/>
          <w:color w:val="222222"/>
          <w:sz w:val="22"/>
          <w:szCs w:val="22"/>
        </w:rPr>
        <w:t xml:space="preserve">The question is whose name comes up.</w:t>
      </w:r>
    </w:p>
    <w:p>
      <w:pPr>
        <w:spacing w:after="80" w:before="0"/>
      </w:pPr>
      <w:r>
        <w:t xml:space="preserve"/>
      </w:r>
    </w:p>
    <w:tbl>
      <w:tblPr>
        <w:tblW w:type="dxa" w:w="9360"/>
        <w:tblBorders>
          <w:top w:val="single" w:color="B8860B" w:sz="12"/>
          <w:left w:val="single" w:color="B8860B" w:sz="4"/>
          <w:bottom w:val="single" w:color="B8860B" w:sz="4"/>
          <w:right w:val="single" w:color="B8860B" w:sz="4"/>
          <w:insideH w:val="none" w:color="FFFFFF" w:sz="0"/>
          <w:insideV w:val="none" w:color="FFFFFF" w:sz="0"/>
        </w:tblBorders>
      </w:tblPr>
      <w:tblGrid>
        <w:gridCol w:w="9360"/>
      </w:tblGrid>
      <w:tr>
        <w:tc>
          <w:tcPr>
            <w:tcW w:type="dxa" w:w="9360"/>
            <w:shd w:fill="F4F1EA" w:color="auto" w:val="clear"/>
            <w:tcMar>
              <w:top w:type="dxa" w:w="200"/>
              <w:left w:type="dxa" w:w="280"/>
              <w:bottom w:type="dxa" w:w="200"/>
              <w:right w:type="dxa" w:w="280"/>
            </w:tcMar>
          </w:tcPr>
          <w:p>
            <w:pPr>
              <w:spacing w:after="0" w:before="0" w:line="320"/>
            </w:pPr>
            <w:r>
              <w:rPr>
                <w:rFonts w:ascii="Calibri" w:cs="Calibri" w:eastAsia="Calibri" w:hAnsi="Calibri"/>
                <w:color w:val="222222"/>
                <w:sz w:val="22"/>
                <w:szCs w:val="22"/>
              </w:rPr>
              <w:t xml:space="preserve">The point is not that Malaysian firms must mimic Magic Circle or Singapore Big Six content budgets. The point is that </w:t>
            </w:r>
            <w:r>
              <w:rPr>
                <w:rFonts w:ascii="Calibri" w:cs="Calibri" w:eastAsia="Calibri" w:hAnsi="Calibri"/>
                <w:b/>
                <w:bCs/>
                <w:color w:val="1B2A4E"/>
                <w:sz w:val="22"/>
                <w:szCs w:val="22"/>
              </w:rPr>
              <w:t xml:space="preserve">a Malaysian firm pitching to a regional in-house team is being compared, whether it realises it or not, to the digital presence of firms that have been publishing thought leadership since 2015.</w:t>
            </w:r>
          </w:p>
        </w:tc>
      </w:tr>
    </w:tbl>
    <w:p>
      <w:pPr>
        <w:pStyle w:val="Heading2"/>
        <w:pBdr>
          <w:bottom w:val="single" w:color="B8860B" w:sz="8" w:space="4"/>
        </w:pBdr>
        <w:spacing w:after="160" w:before="360"/>
      </w:pPr>
      <w:r>
        <w:rPr>
          <w:rFonts w:ascii="Calibri" w:cs="Calibri" w:eastAsia="Calibri" w:hAnsi="Calibri"/>
          <w:b/>
          <w:bCs/>
          <w:color w:val="1B2A4E"/>
          <w:sz w:val="32"/>
          <w:szCs w:val="32"/>
        </w:rPr>
        <w:t xml:space="preserve">6. Different Firms Need Different Digital Strategies</w:t>
      </w:r>
    </w:p>
    <w:p>
      <w:pPr>
        <w:spacing w:after="120" w:before="60" w:line="320"/>
        <w:jc w:val="left"/>
      </w:pPr>
      <w:r>
        <w:rPr>
          <w:rFonts w:ascii="Calibri" w:cs="Calibri" w:eastAsia="Calibri" w:hAnsi="Calibri"/>
          <w:color w:val="222222"/>
          <w:sz w:val="22"/>
          <w:szCs w:val="22"/>
        </w:rPr>
        <w:t xml:space="preserve">The biggest mistake firms make after reading the 2025 Rules is assuming there is one correct digital playbook. There isn't. The right starting point depends on your practice mix, your succession horizon, your existing client base, and how you actually win work today.</w:t>
      </w:r>
    </w:p>
    <w:p>
      <w:pPr>
        <w:spacing w:after="120" w:before="60" w:line="320"/>
        <w:jc w:val="left"/>
      </w:pPr>
      <w:r>
        <w:rPr>
          <w:rFonts w:ascii="Calibri" w:cs="Calibri" w:eastAsia="Calibri" w:hAnsi="Calibri"/>
          <w:color w:val="222222"/>
          <w:sz w:val="22"/>
          <w:szCs w:val="22"/>
        </w:rPr>
        <w:t xml:space="preserve">A useful way to think about this is four broad archetypes. Most firms are a blend, but one usually dominates.</w:t>
      </w:r>
    </w:p>
    <w:p>
      <w:pPr>
        <w:spacing w:after="100" w:before="0"/>
      </w:pPr>
      <w:r>
        <w:t xml:space="preserve"/>
      </w:r>
    </w:p>
    <w:tbl>
      <w:tblPr>
        <w:tblW w:type="dxa" w:w="9360"/>
        <w:tblBorders>
          <w:top w:val="single" w:color="CCCCCC" w:sz="2"/>
          <w:left w:val="single" w:color="1B2A4E" w:sz="8"/>
          <w:bottom w:val="single" w:color="CCCCCC" w:sz="2"/>
          <w:right w:val="single" w:color="CCCCCC" w:sz="2"/>
          <w:insideH w:val="single" w:color="auto" w:sz="4"/>
          <w:insideV w:val="single" w:color="auto" w:sz="4"/>
        </w:tblBorders>
      </w:tblPr>
      <w:tblGrid>
        <w:gridCol w:w="9360"/>
      </w:tblGrid>
      <w:tr>
        <w:tc>
          <w:tcPr>
            <w:tcW w:type="dxa" w:w="9360"/>
            <w:tcMar>
              <w:top w:type="dxa" w:w="180"/>
              <w:left w:type="dxa" w:w="240"/>
              <w:bottom w:type="dxa" w:w="180"/>
              <w:right w:type="dxa" w:w="240"/>
            </w:tcMar>
          </w:tcPr>
          <w:p>
            <w:pPr>
              <w:spacing w:after="80" w:before="0"/>
            </w:pPr>
            <w:r>
              <w:rPr>
                <w:rFonts w:ascii="Calibri" w:cs="Calibri" w:eastAsia="Calibri" w:hAnsi="Calibri"/>
                <w:b/>
                <w:bCs/>
                <w:color w:val="1B2A4E"/>
                <w:sz w:val="26"/>
                <w:szCs w:val="26"/>
              </w:rPr>
              <w:t xml:space="preserve">The Website-First Firm</w:t>
            </w:r>
          </w:p>
          <w:p>
            <w:pPr>
              <w:spacing w:after="0" w:before="0" w:line="300"/>
            </w:pPr>
            <w:r>
              <w:rPr>
                <w:rFonts w:ascii="Calibri" w:cs="Calibri" w:eastAsia="Calibri" w:hAnsi="Calibri"/>
                <w:color w:val="222222"/>
                <w:sz w:val="22"/>
                <w:szCs w:val="22"/>
              </w:rPr>
              <w:t xml:space="preserve">A solo practitioner or boutique where most enquiries come through Google search, referrals that get double-checked online, and walk-ins. The priority is a credible, fast, mobile-optimised website with clear practice areas, lawyer biographies, a Google Business Profile with reviews, and local SEO so the firm ranks for city-and-practice-area searches. Paid search can accelerate what SEO will eventually compound.</w:t>
            </w:r>
          </w:p>
        </w:tc>
      </w:tr>
    </w:tbl>
    <w:p>
      <w:pPr>
        <w:spacing w:after="80" w:before="0"/>
      </w:pPr>
      <w:r>
        <w:t xml:space="preserve"/>
      </w:r>
    </w:p>
    <w:tbl>
      <w:tblPr>
        <w:tblW w:type="dxa" w:w="9360"/>
        <w:tblBorders>
          <w:top w:val="single" w:color="CCCCCC" w:sz="2"/>
          <w:left w:val="single" w:color="1B2A4E" w:sz="8"/>
          <w:bottom w:val="single" w:color="CCCCCC" w:sz="2"/>
          <w:right w:val="single" w:color="CCCCCC" w:sz="2"/>
          <w:insideH w:val="single" w:color="auto" w:sz="4"/>
          <w:insideV w:val="single" w:color="auto" w:sz="4"/>
        </w:tblBorders>
      </w:tblPr>
      <w:tblGrid>
        <w:gridCol w:w="9360"/>
      </w:tblGrid>
      <w:tr>
        <w:tc>
          <w:tcPr>
            <w:tcW w:type="dxa" w:w="9360"/>
            <w:tcMar>
              <w:top w:type="dxa" w:w="180"/>
              <w:left w:type="dxa" w:w="240"/>
              <w:bottom w:type="dxa" w:w="180"/>
              <w:right w:type="dxa" w:w="240"/>
            </w:tcMar>
          </w:tcPr>
          <w:p>
            <w:pPr>
              <w:spacing w:after="80" w:before="0"/>
            </w:pPr>
            <w:r>
              <w:rPr>
                <w:rFonts w:ascii="Calibri" w:cs="Calibri" w:eastAsia="Calibri" w:hAnsi="Calibri"/>
                <w:b/>
                <w:bCs/>
                <w:color w:val="1B2A4E"/>
                <w:sz w:val="26"/>
                <w:szCs w:val="26"/>
              </w:rPr>
              <w:t xml:space="preserve">The Social-First Firm</w:t>
            </w:r>
          </w:p>
          <w:p>
            <w:pPr>
              <w:spacing w:after="0" w:before="0" w:line="300"/>
            </w:pPr>
            <w:r>
              <w:rPr>
                <w:rFonts w:ascii="Calibri" w:cs="Calibri" w:eastAsia="Calibri" w:hAnsi="Calibri"/>
                <w:color w:val="222222"/>
                <w:sz w:val="22"/>
                <w:szCs w:val="22"/>
              </w:rPr>
              <w:t xml:space="preserve">A firm whose principals are comfortable on LinkedIn and want to build personal authority in a niche — employment law, family law, startups, construction disputes. The priority is consistent publishing (short commentary on recent developments, not generic listicles), a polished firm LinkedIn page, and systems that let busy lawyers produce content without it consuming billable hours.</w:t>
            </w:r>
          </w:p>
        </w:tc>
      </w:tr>
    </w:tbl>
    <w:p>
      <w:pPr>
        <w:spacing w:after="80" w:before="0"/>
      </w:pPr>
      <w:r>
        <w:t xml:space="preserve"/>
      </w:r>
    </w:p>
    <w:tbl>
      <w:tblPr>
        <w:tblW w:type="dxa" w:w="9360"/>
        <w:tblBorders>
          <w:top w:val="single" w:color="CCCCCC" w:sz="2"/>
          <w:left w:val="single" w:color="1B2A4E" w:sz="8"/>
          <w:bottom w:val="single" w:color="CCCCCC" w:sz="2"/>
          <w:right w:val="single" w:color="CCCCCC" w:sz="2"/>
          <w:insideH w:val="single" w:color="auto" w:sz="4"/>
          <w:insideV w:val="single" w:color="auto" w:sz="4"/>
        </w:tblBorders>
      </w:tblPr>
      <w:tblGrid>
        <w:gridCol w:w="9360"/>
      </w:tblGrid>
      <w:tr>
        <w:tc>
          <w:tcPr>
            <w:tcW w:type="dxa" w:w="9360"/>
            <w:tcMar>
              <w:top w:type="dxa" w:w="180"/>
              <w:left w:type="dxa" w:w="240"/>
              <w:bottom w:type="dxa" w:w="180"/>
              <w:right w:type="dxa" w:w="240"/>
            </w:tcMar>
          </w:tcPr>
          <w:p>
            <w:pPr>
              <w:spacing w:after="80" w:before="0"/>
            </w:pPr>
            <w:r>
              <w:rPr>
                <w:rFonts w:ascii="Calibri" w:cs="Calibri" w:eastAsia="Calibri" w:hAnsi="Calibri"/>
                <w:b/>
                <w:bCs/>
                <w:color w:val="1B2A4E"/>
                <w:sz w:val="26"/>
                <w:szCs w:val="26"/>
              </w:rPr>
              <w:t xml:space="preserve">The Integrated Firm</w:t>
            </w:r>
          </w:p>
          <w:p>
            <w:pPr>
              <w:spacing w:after="0" w:before="0" w:line="300"/>
            </w:pPr>
            <w:r>
              <w:rPr>
                <w:rFonts w:ascii="Calibri" w:cs="Calibri" w:eastAsia="Calibri" w:hAnsi="Calibri"/>
                <w:color w:val="222222"/>
                <w:sz w:val="22"/>
                <w:szCs w:val="22"/>
              </w:rPr>
              <w:t xml:space="preserve">A mid-size firm with multiple practice areas and a partner team that wants inbound enquiries across several business lines. The priority is a content-rich website with a genuine insights section, SEO across practice areas, a Google Business Profile per office, LinkedIn activity from named partners, and a client-alert newsletter. Analytics matter here, because the firm needs to know which practices are pulling weight.</w:t>
            </w:r>
          </w:p>
        </w:tc>
      </w:tr>
    </w:tbl>
    <w:p>
      <w:pPr>
        <w:spacing w:after="80" w:before="0"/>
      </w:pPr>
      <w:r>
        <w:t xml:space="preserve"/>
      </w:r>
    </w:p>
    <w:tbl>
      <w:tblPr>
        <w:tblW w:type="dxa" w:w="9360"/>
        <w:tblBorders>
          <w:top w:val="single" w:color="CCCCCC" w:sz="2"/>
          <w:left w:val="single" w:color="1B2A4E" w:sz="8"/>
          <w:bottom w:val="single" w:color="CCCCCC" w:sz="2"/>
          <w:right w:val="single" w:color="CCCCCC" w:sz="2"/>
          <w:insideH w:val="single" w:color="auto" w:sz="4"/>
          <w:insideV w:val="single" w:color="auto" w:sz="4"/>
        </w:tblBorders>
      </w:tblPr>
      <w:tblGrid>
        <w:gridCol w:w="9360"/>
      </w:tblGrid>
      <w:tr>
        <w:tc>
          <w:tcPr>
            <w:tcW w:type="dxa" w:w="9360"/>
            <w:tcMar>
              <w:top w:type="dxa" w:w="180"/>
              <w:left w:type="dxa" w:w="240"/>
              <w:bottom w:type="dxa" w:w="180"/>
              <w:right w:type="dxa" w:w="240"/>
            </w:tcMar>
          </w:tcPr>
          <w:p>
            <w:pPr>
              <w:spacing w:after="80" w:before="0"/>
            </w:pPr>
            <w:r>
              <w:rPr>
                <w:rFonts w:ascii="Calibri" w:cs="Calibri" w:eastAsia="Calibri" w:hAnsi="Calibri"/>
                <w:b/>
                <w:bCs/>
                <w:color w:val="1B2A4E"/>
                <w:sz w:val="26"/>
                <w:szCs w:val="26"/>
              </w:rPr>
              <w:t xml:space="preserve">The Thought-Leadership Firm</w:t>
            </w:r>
          </w:p>
          <w:p>
            <w:pPr>
              <w:spacing w:after="0" w:before="0" w:line="300"/>
            </w:pPr>
            <w:r>
              <w:rPr>
                <w:rFonts w:ascii="Calibri" w:cs="Calibri" w:eastAsia="Calibri" w:hAnsi="Calibri"/>
                <w:color w:val="222222"/>
                <w:sz w:val="22"/>
                <w:szCs w:val="22"/>
              </w:rPr>
              <w:t xml:space="preserve">A firm targeting corporate clients, in-house counsel, and regional work. The priority is depth over volume: substantive client alerts on regulatory changes, long-form analysis, partner-bylined commentary, events and webinars, LinkedIn as the primary distribution channel. The test is whether an in-house counsel would forward your latest piece to a colleague.</w:t>
            </w:r>
          </w:p>
        </w:tc>
      </w:tr>
    </w:tbl>
    <w:p>
      <w:pPr>
        <w:spacing w:after="120" w:before="0"/>
      </w:pPr>
      <w:r>
        <w:t xml:space="preserve"/>
      </w:r>
    </w:p>
    <w:tbl>
      <w:tblPr>
        <w:tblW w:type="dxa" w:w="9360"/>
        <w:tblBorders>
          <w:top w:val="single" w:color="B8860B" w:sz="12"/>
          <w:left w:val="single" w:color="B8860B" w:sz="4"/>
          <w:bottom w:val="single" w:color="B8860B" w:sz="4"/>
          <w:right w:val="single" w:color="B8860B" w:sz="4"/>
          <w:insideH w:val="none" w:color="FFFFFF" w:sz="0"/>
          <w:insideV w:val="none" w:color="FFFFFF" w:sz="0"/>
        </w:tblBorders>
      </w:tblPr>
      <w:tblGrid>
        <w:gridCol w:w="9360"/>
      </w:tblGrid>
      <w:tr>
        <w:tc>
          <w:tcPr>
            <w:tcW w:type="dxa" w:w="9360"/>
            <w:shd w:fill="F4F1EA" w:color="auto" w:val="clear"/>
            <w:tcMar>
              <w:top w:type="dxa" w:w="200"/>
              <w:left w:type="dxa" w:w="280"/>
              <w:bottom w:type="dxa" w:w="200"/>
              <w:right w:type="dxa" w:w="280"/>
            </w:tcMar>
          </w:tcPr>
          <w:p>
            <w:pPr>
              <w:spacing w:after="0" w:before="0" w:line="320"/>
            </w:pPr>
            <w:r>
              <w:rPr>
                <w:rFonts w:ascii="Calibri" w:cs="Calibri" w:eastAsia="Calibri" w:hAnsi="Calibri"/>
                <w:color w:val="222222"/>
                <w:sz w:val="22"/>
                <w:szCs w:val="22"/>
              </w:rPr>
              <w:t xml:space="preserve">None of these is inherently better. </w:t>
            </w:r>
            <w:r>
              <w:rPr>
                <w:rFonts w:ascii="Calibri" w:cs="Calibri" w:eastAsia="Calibri" w:hAnsi="Calibri"/>
                <w:b/>
                <w:bCs/>
                <w:color w:val="1B2A4E"/>
                <w:sz w:val="22"/>
                <w:szCs w:val="22"/>
              </w:rPr>
              <w:t xml:space="preserve">What matters is matching the strategy to how your firm actually wins.</w:t>
            </w:r>
            <w:r>
              <w:rPr>
                <w:rFonts w:ascii="Calibri" w:cs="Calibri" w:eastAsia="Calibri" w:hAnsi="Calibri"/>
                <w:color w:val="222222"/>
                <w:sz w:val="22"/>
                <w:szCs w:val="22"/>
              </w:rPr>
              <w:t xml:space="preserve"> That diagnosis is the work we do in the discovery call — before any proposal, before any quote, before any assumption about what your firm needs.</w:t>
            </w:r>
          </w:p>
        </w:tc>
      </w:tr>
    </w:tbl>
    <w:p>
      <w:pPr>
        <w:pStyle w:val="Heading2"/>
        <w:pBdr>
          <w:bottom w:val="single" w:color="B8860B" w:sz="8" w:space="4"/>
        </w:pBdr>
        <w:spacing w:after="160" w:before="360"/>
      </w:pPr>
      <w:r>
        <w:rPr>
          <w:rFonts w:ascii="Calibri" w:cs="Calibri" w:eastAsia="Calibri" w:hAnsi="Calibri"/>
          <w:b/>
          <w:bCs/>
          <w:color w:val="1B2A4E"/>
          <w:sz w:val="32"/>
          <w:szCs w:val="32"/>
        </w:rPr>
        <w:t xml:space="preserve">7. Why Apex IT Solution</w:t>
      </w:r>
    </w:p>
    <w:p>
      <w:pPr>
        <w:spacing w:after="120" w:before="60" w:line="320"/>
        <w:jc w:val="left"/>
      </w:pPr>
      <w:r>
        <w:rPr>
          <w:rFonts w:ascii="Calibri" w:cs="Calibri" w:eastAsia="Calibri" w:hAnsi="Calibri"/>
          <w:color w:val="222222"/>
          <w:sz w:val="22"/>
          <w:szCs w:val="22"/>
        </w:rPr>
        <w:t xml:space="preserve">We are not a generic digital agency that happens to have taken on law firm clients. We are a Malaysian agency, founded in Sungai Besi, Kuala Lumpur in 2006, that has spent nearly two decades building and maintaining websites, SEO programmes, and digital infrastructure for professional services businesses in the local market.</w:t>
      </w:r>
    </w:p>
    <w:p>
      <w:pPr>
        <w:spacing w:after="120" w:before="60" w:line="320"/>
        <w:jc w:val="left"/>
      </w:pPr>
      <w:r>
        <w:rPr>
          <w:rFonts w:ascii="Calibri" w:cs="Calibri" w:eastAsia="Calibri" w:hAnsi="Calibri"/>
          <w:color w:val="222222"/>
          <w:sz w:val="22"/>
          <w:szCs w:val="22"/>
        </w:rPr>
        <w:t xml:space="preserve">Three things matter for a law firm engaging us:</w:t>
      </w:r>
    </w:p>
    <w:p>
      <w:pPr>
        <w:pStyle w:val="Heading3"/>
        <w:spacing w:after="120" w:before="240"/>
      </w:pPr>
      <w:r>
        <w:rPr>
          <w:rFonts w:ascii="Calibri" w:cs="Calibri" w:eastAsia="Calibri" w:hAnsi="Calibri"/>
          <w:b/>
          <w:bCs/>
          <w:color w:val="1B2A4E"/>
          <w:sz w:val="26"/>
          <w:szCs w:val="26"/>
        </w:rPr>
        <w:t xml:space="preserve">We work in your regulatory environment, not an imported one</w:t>
      </w:r>
    </w:p>
    <w:p>
      <w:pPr>
        <w:spacing w:after="120" w:before="60" w:line="320"/>
        <w:jc w:val="left"/>
      </w:pPr>
      <w:r>
        <w:rPr>
          <w:rFonts w:ascii="Calibri" w:cs="Calibri" w:eastAsia="Calibri" w:hAnsi="Calibri"/>
          <w:color w:val="222222"/>
          <w:sz w:val="22"/>
          <w:szCs w:val="22"/>
        </w:rPr>
        <w:t xml:space="preserve">The 2025 Publicity Rules are a Malaysian instrument, interpreted by the Malaysian Bar Council, enforced under Malaysian law. Generic templates from US or Australian legal marketing playbooks will violate them. We have read the rules. We understand the line between permitted specialisation claims and prohibited expert claims. We understand why case references need careful handling under Rule 7(c), why fee disclosure is off-limits, and why “best lawyer in KL” is a compliance incident waiting to happen.</w:t>
      </w:r>
    </w:p>
    <w:p>
      <w:pPr>
        <w:pStyle w:val="Heading3"/>
        <w:spacing w:after="120" w:before="240"/>
      </w:pPr>
      <w:r>
        <w:rPr>
          <w:rFonts w:ascii="Calibri" w:cs="Calibri" w:eastAsia="Calibri" w:hAnsi="Calibri"/>
          <w:b/>
          <w:bCs/>
          <w:color w:val="1B2A4E"/>
          <w:sz w:val="26"/>
          <w:szCs w:val="26"/>
        </w:rPr>
        <w:t xml:space="preserve">We build for the long run, not the launch</w:t>
      </w:r>
    </w:p>
    <w:p>
      <w:pPr>
        <w:spacing w:after="120" w:before="60" w:line="320"/>
        <w:jc w:val="left"/>
      </w:pPr>
      <w:r>
        <w:rPr>
          <w:rFonts w:ascii="Calibri" w:cs="Calibri" w:eastAsia="Calibri" w:hAnsi="Calibri"/>
          <w:color w:val="222222"/>
          <w:sz w:val="22"/>
          <w:szCs w:val="22"/>
        </w:rPr>
        <w:t xml:space="preserve">A law firm website is not a campaign asset. It is a 5–10 year piece of professional infrastructure that has to remain accurate, secure, fast, and aligned with how the firm evolves. Our engagements are structured around ongoing maintenance, not hand-offs. When a partner changes practice area, a new associate joins, or a client alert needs to go live, the work gets done.</w:t>
      </w:r>
    </w:p>
    <w:p>
      <w:pPr>
        <w:pStyle w:val="Heading3"/>
        <w:spacing w:after="120" w:before="240"/>
      </w:pPr>
      <w:r>
        <w:rPr>
          <w:rFonts w:ascii="Calibri" w:cs="Calibri" w:eastAsia="Calibri" w:hAnsi="Calibri"/>
          <w:b/>
          <w:bCs/>
          <w:color w:val="1B2A4E"/>
          <w:sz w:val="26"/>
          <w:szCs w:val="26"/>
        </w:rPr>
        <w:t xml:space="preserve">We keep the team small and senior on purpose</w:t>
      </w:r>
    </w:p>
    <w:p>
      <w:pPr>
        <w:spacing w:after="120" w:before="60" w:line="320"/>
        <w:jc w:val="left"/>
      </w:pPr>
      <w:r>
        <w:rPr>
          <w:rFonts w:ascii="Calibri" w:cs="Calibri" w:eastAsia="Calibri" w:hAnsi="Calibri"/>
          <w:color w:val="222222"/>
          <w:sz w:val="22"/>
          <w:szCs w:val="22"/>
        </w:rPr>
        <w:t xml:space="preserve">Apex is Navin and Nav. Every firm we work with deals with the people actually doing the work. For law firms — where trust, confidentiality, and consistency matter more than scale — that is the right structure, not a limitation.</w:t>
      </w:r>
    </w:p>
    <w:p>
      <w:pPr>
        <w:spacing w:after="60" w:before="0"/>
      </w:pPr>
      <w:r>
        <w:t xml:space="preserve"/>
      </w:r>
    </w:p>
    <w:tbl>
      <w:tblPr>
        <w:tblW w:type="dxa" w:w="9360"/>
        <w:tblBorders>
          <w:top w:val="single" w:color="B8860B" w:sz="12"/>
          <w:left w:val="single" w:color="B8860B" w:sz="4"/>
          <w:bottom w:val="single" w:color="B8860B" w:sz="4"/>
          <w:right w:val="single" w:color="B8860B" w:sz="4"/>
          <w:insideH w:val="none" w:color="FFFFFF" w:sz="0"/>
          <w:insideV w:val="none" w:color="FFFFFF" w:sz="0"/>
        </w:tblBorders>
      </w:tblPr>
      <w:tblGrid>
        <w:gridCol w:w="9360"/>
      </w:tblGrid>
      <w:tr>
        <w:tc>
          <w:tcPr>
            <w:tcW w:type="dxa" w:w="9360"/>
            <w:shd w:fill="F4F1EA" w:color="auto" w:val="clear"/>
            <w:tcMar>
              <w:top w:type="dxa" w:w="200"/>
              <w:left w:type="dxa" w:w="280"/>
              <w:bottom w:type="dxa" w:w="200"/>
              <w:right w:type="dxa" w:w="280"/>
            </w:tcMar>
          </w:tcPr>
          <w:p>
            <w:pPr>
              <w:spacing w:after="0" w:before="0" w:line="320"/>
            </w:pPr>
            <w:r>
              <w:rPr>
                <w:rFonts w:ascii="Calibri" w:cs="Calibri" w:eastAsia="Calibri" w:hAnsi="Calibri"/>
                <w:color w:val="222222"/>
                <w:sz w:val="22"/>
                <w:szCs w:val="22"/>
              </w:rPr>
              <w:t xml:space="preserve">We are not the cheapest option in the market. We are not the loudest. </w:t>
            </w:r>
            <w:r>
              <w:rPr>
                <w:rFonts w:ascii="Calibri" w:cs="Calibri" w:eastAsia="Calibri" w:hAnsi="Calibri"/>
                <w:b/>
                <w:bCs/>
                <w:color w:val="1B2A4E"/>
                <w:sz w:val="22"/>
                <w:szCs w:val="22"/>
              </w:rPr>
              <w:t xml:space="preserve">We are the agency most likely to still be answering your calls in 2031, maintaining the website we built you in 2026, and publishing the client alert you drafted this morning.</w:t>
            </w:r>
          </w:p>
        </w:tc>
      </w:tr>
    </w:tbl>
    <w:p>
      <w:pPr>
        <w:pStyle w:val="Heading2"/>
        <w:pBdr>
          <w:bottom w:val="single" w:color="B8860B" w:sz="8" w:space="4"/>
        </w:pBdr>
        <w:spacing w:after="160" w:before="360"/>
      </w:pPr>
      <w:r>
        <w:rPr>
          <w:rFonts w:ascii="Calibri" w:cs="Calibri" w:eastAsia="Calibri" w:hAnsi="Calibri"/>
          <w:b/>
          <w:bCs/>
          <w:color w:val="1B2A4E"/>
          <w:sz w:val="32"/>
          <w:szCs w:val="32"/>
        </w:rPr>
        <w:t xml:space="preserve">8. What Firms We Work With Tell Us</w:t>
      </w:r>
    </w:p>
    <w:p>
      <w:pPr>
        <w:spacing w:after="40" w:before="160"/>
      </w:pPr>
      <w:r>
        <w:rPr>
          <w:rFonts w:ascii="Calibri" w:cs="Calibri" w:eastAsia="Calibri" w:hAnsi="Calibri"/>
          <w:b/>
          <w:bCs/>
          <w:color w:val="B8860B"/>
          <w:spacing w:val="20"/>
          <w:sz w:val="18"/>
          <w:szCs w:val="18"/>
        </w:rPr>
        <w:t xml:space="preserve">[TESTIMONIAL PLACEHOLDER — INSERT ONCE COLLECTED]</w:t>
      </w:r>
    </w:p>
    <w:p>
      <w:pPr>
        <w:spacing w:after="120" w:before="60" w:line="320"/>
        <w:jc w:val="left"/>
      </w:pPr>
      <w:r>
        <w:rPr>
          <w:rFonts w:ascii="Calibri" w:cs="Calibri" w:eastAsia="Calibri" w:hAnsi="Calibri"/>
          <w:color w:val="222222"/>
          <w:sz w:val="22"/>
          <w:szCs w:val="22"/>
        </w:rPr>
        <w:t xml:space="preserve">Three short quotes, each attributed to a named client with their firm and role, to be inserted once collected. Under Rule 5(2)(c), testimonials must be verifiable; use only quotes the firm is comfortable standing behind publicly. Avoid superlatives like “best” or “top.” Under Rule 5(2)(d), avoid language that implies guaranteed outcomes. Focus on service quality, responsiveness, and outcomes the quoted client can genuinely attest to.</w:t>
      </w:r>
    </w:p>
    <w:p>
      <w:pPr>
        <w:pStyle w:val="Heading4"/>
        <w:spacing w:after="80" w:before="200"/>
      </w:pPr>
      <w:r>
        <w:rPr>
          <w:rFonts w:ascii="Calibri" w:cs="Calibri" w:eastAsia="Calibri" w:hAnsi="Calibri"/>
          <w:b/>
          <w:bCs/>
          <w:color w:val="1B2A4E"/>
          <w:sz w:val="22"/>
          <w:szCs w:val="22"/>
        </w:rPr>
        <w:t xml:space="preserve">Suggested structure for each testimonial:</w:t>
      </w:r>
    </w:p>
    <w:p>
      <w:pPr>
        <w:pStyle w:val="ListParagraph"/>
        <w:numPr>
          <w:ilvl w:val="0"/>
          <w:numId w:val="2"/>
        </w:numPr>
        <w:spacing w:after="80" w:before="40" w:line="300"/>
      </w:pPr>
      <w:r>
        <w:rPr>
          <w:rFonts w:ascii="Calibri" w:cs="Calibri" w:eastAsia="Calibri" w:hAnsi="Calibri"/>
          <w:color w:val="222222"/>
          <w:sz w:val="22"/>
          <w:szCs w:val="22"/>
        </w:rPr>
        <w:t xml:space="preserve">Client quote (2–3 sentences, specific and plainly written)</w:t>
      </w:r>
    </w:p>
    <w:p>
      <w:pPr>
        <w:pStyle w:val="ListParagraph"/>
        <w:numPr>
          <w:ilvl w:val="0"/>
          <w:numId w:val="2"/>
        </w:numPr>
        <w:spacing w:after="80" w:before="40" w:line="300"/>
      </w:pPr>
      <w:r>
        <w:rPr>
          <w:rFonts w:ascii="Calibri" w:cs="Calibri" w:eastAsia="Calibri" w:hAnsi="Calibri"/>
          <w:color w:val="222222"/>
          <w:sz w:val="22"/>
          <w:szCs w:val="22"/>
        </w:rPr>
        <w:t xml:space="preserve">Full name, title, firm name</w:t>
      </w:r>
    </w:p>
    <w:p>
      <w:pPr>
        <w:pStyle w:val="ListParagraph"/>
        <w:numPr>
          <w:ilvl w:val="0"/>
          <w:numId w:val="2"/>
        </w:numPr>
        <w:spacing w:after="80" w:before="40" w:line="300"/>
      </w:pPr>
      <w:r>
        <w:rPr>
          <w:rFonts w:ascii="Calibri" w:cs="Calibri" w:eastAsia="Calibri" w:hAnsi="Calibri"/>
          <w:color w:val="222222"/>
          <w:sz w:val="22"/>
          <w:szCs w:val="22"/>
        </w:rPr>
        <w:t xml:space="preserve">Small photo if permission granted</w:t>
      </w:r>
    </w:p>
    <w:p>
      <w:pPr>
        <w:pStyle w:val="ListParagraph"/>
        <w:numPr>
          <w:ilvl w:val="0"/>
          <w:numId w:val="2"/>
        </w:numPr>
        <w:spacing w:after="80" w:before="40" w:line="300"/>
      </w:pPr>
      <w:r>
        <w:rPr>
          <w:rFonts w:ascii="Calibri" w:cs="Calibri" w:eastAsia="Calibri" w:hAnsi="Calibri"/>
          <w:color w:val="222222"/>
          <w:sz w:val="22"/>
          <w:szCs w:val="22"/>
        </w:rPr>
        <w:t xml:space="preserve">One concrete result where defensible (e.g., “website relaunch delivered on schedule,” “organic traffic grew over 12 months”) — avoid unverifiable claims</w:t>
      </w:r>
    </w:p>
    <w:p>
      <w:pPr>
        <w:spacing w:after="120" w:before="60" w:line="320"/>
        <w:jc w:val="left"/>
      </w:pPr>
      <w:r>
        <w:rPr>
          <w:rFonts w:ascii="Calibri" w:cs="Calibri" w:eastAsia="Calibri" w:hAnsi="Calibri"/>
          <w:color w:val="222222"/>
          <w:sz w:val="22"/>
          <w:szCs w:val="22"/>
        </w:rPr>
        <w:t xml:space="preserve">If testimonials are not yet available, replace this section with a short “Our commitments to every firm we work with” block covering response times, compliance review, and maintenance standards. This maintains credibility while you collect testimonials from live clients.</w:t>
      </w:r>
    </w:p>
    <w:p>
      <w:pPr>
        <w:pStyle w:val="Heading2"/>
        <w:pBdr>
          <w:bottom w:val="single" w:color="B8860B" w:sz="8" w:space="4"/>
        </w:pBdr>
        <w:spacing w:after="160" w:before="360"/>
      </w:pPr>
      <w:r>
        <w:rPr>
          <w:rFonts w:ascii="Calibri" w:cs="Calibri" w:eastAsia="Calibri" w:hAnsi="Calibri"/>
          <w:b/>
          <w:bCs/>
          <w:color w:val="1B2A4E"/>
          <w:sz w:val="32"/>
          <w:szCs w:val="32"/>
        </w:rPr>
        <w:t xml:space="preserve">9. Why the First Step is a Diagnosis, Not a Pitch</w:t>
      </w:r>
    </w:p>
    <w:p>
      <w:pPr>
        <w:spacing w:after="120" w:before="60" w:line="320"/>
        <w:jc w:val="left"/>
      </w:pPr>
      <w:r>
        <w:rPr>
          <w:rFonts w:ascii="Calibri" w:cs="Calibri" w:eastAsia="Calibri" w:hAnsi="Calibri"/>
          <w:color w:val="222222"/>
          <w:sz w:val="22"/>
          <w:szCs w:val="22"/>
        </w:rPr>
        <w:t xml:space="preserve">Most agencies open with a proposal. We don't, because a proposal written before we understand your firm is just a guess wearing a logo.</w:t>
      </w:r>
    </w:p>
    <w:p>
      <w:pPr>
        <w:spacing w:after="120" w:before="60" w:line="320"/>
        <w:jc w:val="left"/>
      </w:pPr>
      <w:r>
        <w:rPr>
          <w:rFonts w:ascii="Calibri" w:cs="Calibri" w:eastAsia="Calibri" w:hAnsi="Calibri"/>
          <w:color w:val="222222"/>
          <w:sz w:val="22"/>
          <w:szCs w:val="22"/>
        </w:rPr>
        <w:t xml:space="preserve">The discovery call is </w:t>
      </w:r>
      <w:r>
        <w:rPr>
          <w:rFonts w:ascii="Calibri" w:cs="Calibri" w:eastAsia="Calibri" w:hAnsi="Calibri"/>
          <w:b/>
          <w:bCs/>
          <w:color w:val="222222"/>
          <w:sz w:val="22"/>
          <w:szCs w:val="22"/>
        </w:rPr>
        <w:t xml:space="preserve">a 30-minute working conversation, free and without obligation</w:t>
      </w:r>
      <w:r>
        <w:rPr>
          <w:rFonts w:ascii="Calibri" w:cs="Calibri" w:eastAsia="Calibri" w:hAnsi="Calibri"/>
          <w:color w:val="222222"/>
          <w:sz w:val="22"/>
          <w:szCs w:val="22"/>
        </w:rPr>
        <w:t xml:space="preserve">, structured around three questions:</w:t>
      </w:r>
    </w:p>
    <w:p>
      <w:pPr>
        <w:pStyle w:val="Heading4"/>
        <w:spacing w:after="80" w:before="200"/>
      </w:pPr>
      <w:r>
        <w:rPr>
          <w:rFonts w:ascii="Calibri" w:cs="Calibri" w:eastAsia="Calibri" w:hAnsi="Calibri"/>
          <w:b/>
          <w:bCs/>
          <w:color w:val="1B2A4E"/>
          <w:sz w:val="22"/>
          <w:szCs w:val="22"/>
        </w:rPr>
        <w:t xml:space="preserve">1. Where does your firm currently stand online — honestly?</w:t>
      </w:r>
    </w:p>
    <w:p>
      <w:pPr>
        <w:spacing w:after="120" w:before="60" w:line="320"/>
        <w:jc w:val="left"/>
      </w:pPr>
      <w:r>
        <w:rPr>
          <w:rFonts w:ascii="Calibri" w:cs="Calibri" w:eastAsia="Calibri" w:hAnsi="Calibri"/>
          <w:color w:val="222222"/>
          <w:sz w:val="22"/>
          <w:szCs w:val="22"/>
        </w:rPr>
        <w:t xml:space="preserve">We audit your website, your Google presence, your LinkedIn, your reviews, and your search visibility for the practice areas you care about. You leave the call with a clear picture of what a prospective client sees when they Google your firm today.</w:t>
      </w:r>
    </w:p>
    <w:p>
      <w:pPr>
        <w:pStyle w:val="Heading4"/>
        <w:spacing w:after="80" w:before="200"/>
      </w:pPr>
      <w:r>
        <w:rPr>
          <w:rFonts w:ascii="Calibri" w:cs="Calibri" w:eastAsia="Calibri" w:hAnsi="Calibri"/>
          <w:b/>
          <w:bCs/>
          <w:color w:val="1B2A4E"/>
          <w:sz w:val="22"/>
          <w:szCs w:val="22"/>
        </w:rPr>
        <w:t xml:space="preserve">2. What does compliant, effective publicity actually look like for your specific practice mix?</w:t>
      </w:r>
    </w:p>
    <w:p>
      <w:pPr>
        <w:spacing w:after="120" w:before="60" w:line="320"/>
        <w:jc w:val="left"/>
      </w:pPr>
      <w:r>
        <w:rPr>
          <w:rFonts w:ascii="Calibri" w:cs="Calibri" w:eastAsia="Calibri" w:hAnsi="Calibri"/>
          <w:color w:val="222222"/>
          <w:sz w:val="22"/>
          <w:szCs w:val="22"/>
        </w:rPr>
        <w:t xml:space="preserve">The right answer for a boutique family law firm in Subang Jaya is not the right answer for a 20-partner corporate firm in KLCC. We talk through which of the four archetypes fits your firm, and what the realistic first 90 days would look like.</w:t>
      </w:r>
    </w:p>
    <w:p>
      <w:pPr>
        <w:pStyle w:val="Heading4"/>
        <w:spacing w:after="80" w:before="200"/>
      </w:pPr>
      <w:r>
        <w:rPr>
          <w:rFonts w:ascii="Calibri" w:cs="Calibri" w:eastAsia="Calibri" w:hAnsi="Calibri"/>
          <w:b/>
          <w:bCs/>
          <w:color w:val="1B2A4E"/>
          <w:sz w:val="22"/>
          <w:szCs w:val="22"/>
        </w:rPr>
        <w:t xml:space="preserve">3. What would this cost, and what is the sequence?</w:t>
      </w:r>
    </w:p>
    <w:p>
      <w:pPr>
        <w:spacing w:after="120" w:before="60" w:line="320"/>
        <w:jc w:val="left"/>
      </w:pPr>
      <w:r>
        <w:rPr>
          <w:rFonts w:ascii="Calibri" w:cs="Calibri" w:eastAsia="Calibri" w:hAnsi="Calibri"/>
          <w:color w:val="222222"/>
          <w:sz w:val="22"/>
          <w:szCs w:val="22"/>
        </w:rPr>
        <w:t xml:space="preserve">After the call, if there is a fit, we send a scoped proposal with a clear price and a clear timeline. If there isn't a fit, we'll tell you that too — and where appropriate, point you to another agency or in-house path that makes more sense for your situation.</w:t>
      </w:r>
    </w:p>
    <w:p>
      <w:pPr>
        <w:spacing w:after="60" w:before="0"/>
      </w:pPr>
      <w:r>
        <w:t xml:space="preserve"/>
      </w:r>
    </w:p>
    <w:tbl>
      <w:tblPr>
        <w:tblW w:type="dxa" w:w="9360"/>
        <w:tblBorders>
          <w:top w:val="single" w:color="B8860B" w:sz="12"/>
          <w:left w:val="single" w:color="B8860B" w:sz="4"/>
          <w:bottom w:val="single" w:color="B8860B" w:sz="4"/>
          <w:right w:val="single" w:color="B8860B" w:sz="4"/>
          <w:insideH w:val="none" w:color="FFFFFF" w:sz="0"/>
          <w:insideV w:val="none" w:color="FFFFFF" w:sz="0"/>
        </w:tblBorders>
      </w:tblPr>
      <w:tblGrid>
        <w:gridCol w:w="9360"/>
      </w:tblGrid>
      <w:tr>
        <w:tc>
          <w:tcPr>
            <w:tcW w:type="dxa" w:w="9360"/>
            <w:shd w:fill="F4F1EA" w:color="auto" w:val="clear"/>
            <w:tcMar>
              <w:top w:type="dxa" w:w="200"/>
              <w:left w:type="dxa" w:w="280"/>
              <w:bottom w:type="dxa" w:w="200"/>
              <w:right w:type="dxa" w:w="280"/>
            </w:tcMar>
          </w:tcPr>
          <w:p>
            <w:pPr>
              <w:spacing w:after="0" w:before="0" w:line="320"/>
            </w:pPr>
            <w:r>
              <w:rPr>
                <w:rFonts w:ascii="Calibri" w:cs="Calibri" w:eastAsia="Calibri" w:hAnsi="Calibri"/>
                <w:color w:val="222222"/>
                <w:sz w:val="22"/>
                <w:szCs w:val="22"/>
              </w:rPr>
              <w:t xml:space="preserve">We gate pricing behind the call for one reason: </w:t>
            </w:r>
            <w:r>
              <w:rPr>
                <w:rFonts w:ascii="Calibri" w:cs="Calibri" w:eastAsia="Calibri" w:hAnsi="Calibri"/>
                <w:b/>
                <w:bCs/>
                <w:color w:val="1B2A4E"/>
                <w:sz w:val="22"/>
                <w:szCs w:val="22"/>
              </w:rPr>
              <w:t xml:space="preserve">the price of doing this properly depends on your firm.</w:t>
            </w:r>
            <w:r>
              <w:rPr>
                <w:rFonts w:ascii="Calibri" w:cs="Calibri" w:eastAsia="Calibri" w:hAnsi="Calibri"/>
                <w:color w:val="222222"/>
                <w:sz w:val="22"/>
                <w:szCs w:val="22"/>
              </w:rPr>
              <w:t xml:space="preserve"> A solo practitioner needing a clean website and a Google Business Profile has a very different engagement from a mid-size firm wanting an integrated content programme. Quoting before we understand which one you are would either overcharge you or under-deliver — and neither is how we have stayed in business since 2006.</w:t>
            </w:r>
          </w:p>
        </w:tc>
      </w:tr>
    </w:tbl>
    <w:p>
      <w:pPr>
        <w:pStyle w:val="Heading2"/>
        <w:pBdr>
          <w:bottom w:val="single" w:color="B8860B" w:sz="8" w:space="4"/>
        </w:pBdr>
        <w:spacing w:after="160" w:before="360"/>
      </w:pPr>
      <w:r>
        <w:rPr>
          <w:rFonts w:ascii="Calibri" w:cs="Calibri" w:eastAsia="Calibri" w:hAnsi="Calibri"/>
          <w:b/>
          <w:bCs/>
          <w:color w:val="1B2A4E"/>
          <w:sz w:val="32"/>
          <w:szCs w:val="32"/>
        </w:rPr>
        <w:t xml:space="preserve">10. Book Your Discovery Call</w:t>
      </w:r>
    </w:p>
    <w:tbl>
      <w:tblPr>
        <w:tblW w:type="dxa" w:w="9360"/>
        <w:tblBorders>
          <w:top w:val="single" w:color="1B2A4E" w:sz="4"/>
          <w:left w:val="single" w:color="1B2A4E" w:sz="4"/>
          <w:bottom w:val="single" w:color="1B2A4E" w:sz="4"/>
          <w:right w:val="single" w:color="1B2A4E" w:sz="4"/>
          <w:insideH w:val="none" w:color="FFFFFF" w:sz="0"/>
          <w:insideV w:val="none" w:color="FFFFFF" w:sz="0"/>
        </w:tblBorders>
      </w:tblPr>
      <w:tblGrid>
        <w:gridCol w:w="9360"/>
      </w:tblGrid>
      <w:tr>
        <w:tc>
          <w:tcPr>
            <w:tcW w:type="dxa" w:w="9360"/>
            <w:shd w:fill="1B2A4E" w:color="auto" w:val="clear"/>
            <w:tcMar>
              <w:top w:type="dxa" w:w="280"/>
              <w:left w:type="dxa" w:w="320"/>
              <w:bottom w:type="dxa" w:w="280"/>
              <w:right w:type="dxa" w:w="320"/>
            </w:tcMar>
          </w:tcPr>
          <w:p>
            <w:pPr>
              <w:spacing w:after="100" w:before="0"/>
            </w:pPr>
            <w:r>
              <w:rPr>
                <w:rFonts w:ascii="Calibri" w:cs="Calibri" w:eastAsia="Calibri" w:hAnsi="Calibri"/>
                <w:b/>
                <w:bCs/>
                <w:color w:val="B8860B"/>
                <w:spacing w:val="20"/>
                <w:sz w:val="18"/>
                <w:szCs w:val="18"/>
              </w:rPr>
              <w:t xml:space="preserve">PRIMARY CTA — LEAD FORM</w:t>
            </w:r>
          </w:p>
          <w:p>
            <w:pPr>
              <w:spacing w:after="140" w:before="0"/>
            </w:pPr>
            <w:r>
              <w:rPr>
                <w:rFonts w:ascii="Calibri" w:cs="Calibri" w:eastAsia="Calibri" w:hAnsi="Calibri"/>
                <w:b/>
                <w:bCs/>
                <w:color w:val="FFFFFF"/>
                <w:sz w:val="30"/>
                <w:szCs w:val="30"/>
              </w:rPr>
              <w:t xml:space="preserve">Your 30-minute diagnostic, at no cost.</w:t>
            </w:r>
          </w:p>
          <w:p>
            <w:pPr>
              <w:spacing w:after="120" w:before="0" w:line="320"/>
            </w:pPr>
            <w:r>
              <w:rPr>
                <w:rFonts w:ascii="Calibri" w:cs="Calibri" w:eastAsia="Calibri" w:hAnsi="Calibri"/>
                <w:color w:val="D5D9E0"/>
                <w:sz w:val="22"/>
                <w:szCs w:val="22"/>
              </w:rPr>
              <w:t xml:space="preserve">Tell us a little about your firm. We will come back within one business day to schedule a call at a time that works for you — including outside standard hours if court schedules require it.</w:t>
            </w:r>
          </w:p>
        </w:tc>
      </w:tr>
    </w:tbl>
    <w:p>
      <w:pPr>
        <w:spacing w:after="100" w:before="0"/>
      </w:pPr>
      <w:r>
        <w:t xml:space="preserve"/>
      </w:r>
    </w:p>
    <w:p>
      <w:pPr>
        <w:pStyle w:val="Heading4"/>
        <w:spacing w:after="80" w:before="200"/>
      </w:pPr>
      <w:r>
        <w:rPr>
          <w:rFonts w:ascii="Calibri" w:cs="Calibri" w:eastAsia="Calibri" w:hAnsi="Calibri"/>
          <w:b/>
          <w:bCs/>
          <w:color w:val="1B2A4E"/>
          <w:sz w:val="22"/>
          <w:szCs w:val="22"/>
        </w:rPr>
        <w:t xml:space="preserve">Lead form fields (keep short — 5 fields maximum)</w:t>
      </w:r>
    </w:p>
    <w:p>
      <w:pPr>
        <w:pStyle w:val="ListParagraph"/>
        <w:numPr>
          <w:ilvl w:val="0"/>
          <w:numId w:val="2"/>
        </w:numPr>
        <w:spacing w:after="80" w:before="40" w:line="300"/>
      </w:pPr>
      <w:r>
        <w:rPr>
          <w:rFonts w:ascii="Calibri" w:cs="Calibri" w:eastAsia="Calibri" w:hAnsi="Calibri"/>
          <w:color w:val="222222"/>
          <w:sz w:val="22"/>
          <w:szCs w:val="22"/>
        </w:rPr>
        <w:t xml:space="preserve">Full name *</w:t>
      </w:r>
    </w:p>
    <w:p>
      <w:pPr>
        <w:pStyle w:val="ListParagraph"/>
        <w:numPr>
          <w:ilvl w:val="0"/>
          <w:numId w:val="2"/>
        </w:numPr>
        <w:spacing w:after="80" w:before="40" w:line="300"/>
      </w:pPr>
      <w:r>
        <w:rPr>
          <w:rFonts w:ascii="Calibri" w:cs="Calibri" w:eastAsia="Calibri" w:hAnsi="Calibri"/>
          <w:color w:val="222222"/>
          <w:sz w:val="22"/>
          <w:szCs w:val="22"/>
        </w:rPr>
        <w:t xml:space="preserve">Firm name *</w:t>
      </w:r>
    </w:p>
    <w:p>
      <w:pPr>
        <w:pStyle w:val="ListParagraph"/>
        <w:numPr>
          <w:ilvl w:val="0"/>
          <w:numId w:val="2"/>
        </w:numPr>
        <w:spacing w:after="80" w:before="40" w:line="300"/>
      </w:pPr>
      <w:r>
        <w:rPr>
          <w:rFonts w:ascii="Calibri" w:cs="Calibri" w:eastAsia="Calibri" w:hAnsi="Calibri"/>
          <w:color w:val="222222"/>
          <w:sz w:val="22"/>
          <w:szCs w:val="22"/>
        </w:rPr>
        <w:t xml:space="preserve">Role (Managing Partner / Partner / Practice Head / Other) *</w:t>
      </w:r>
    </w:p>
    <w:p>
      <w:pPr>
        <w:pStyle w:val="ListParagraph"/>
        <w:numPr>
          <w:ilvl w:val="0"/>
          <w:numId w:val="2"/>
        </w:numPr>
        <w:spacing w:after="80" w:before="40" w:line="300"/>
      </w:pPr>
      <w:r>
        <w:rPr>
          <w:rFonts w:ascii="Calibri" w:cs="Calibri" w:eastAsia="Calibri" w:hAnsi="Calibri"/>
          <w:color w:val="222222"/>
          <w:sz w:val="22"/>
          <w:szCs w:val="22"/>
        </w:rPr>
        <w:t xml:space="preserve">Work email *</w:t>
      </w:r>
    </w:p>
    <w:p>
      <w:pPr>
        <w:pStyle w:val="ListParagraph"/>
        <w:numPr>
          <w:ilvl w:val="0"/>
          <w:numId w:val="2"/>
        </w:numPr>
        <w:spacing w:after="80" w:before="40" w:line="300"/>
      </w:pPr>
      <w:r>
        <w:rPr>
          <w:rFonts w:ascii="Calibri" w:cs="Calibri" w:eastAsia="Calibri" w:hAnsi="Calibri"/>
          <w:color w:val="222222"/>
          <w:sz w:val="22"/>
          <w:szCs w:val="22"/>
        </w:rPr>
        <w:t xml:space="preserve">Mobile or WhatsApp number *</w:t>
      </w:r>
    </w:p>
    <w:p>
      <w:pPr>
        <w:pStyle w:val="ListParagraph"/>
        <w:numPr>
          <w:ilvl w:val="0"/>
          <w:numId w:val="2"/>
        </w:numPr>
        <w:spacing w:after="80" w:before="40" w:line="300"/>
      </w:pPr>
      <w:r>
        <w:rPr>
          <w:rFonts w:ascii="Calibri" w:cs="Calibri" w:eastAsia="Calibri" w:hAnsi="Calibri"/>
          <w:color w:val="222222"/>
          <w:sz w:val="22"/>
          <w:szCs w:val="22"/>
        </w:rPr>
        <w:t xml:space="preserve">Optional: What prompted you to reach out today? (free-text, 2–3 lines)</w:t>
      </w:r>
    </w:p>
    <w:p>
      <w:pPr>
        <w:spacing w:after="60" w:before="0"/>
      </w:pPr>
      <w:r>
        <w:t xml:space="preserve"/>
      </w:r>
    </w:p>
    <w:p>
      <w:pPr>
        <w:spacing w:after="120" w:before="60" w:line="320"/>
        <w:jc w:val="left"/>
      </w:pPr>
      <w:r>
        <w:rPr>
          <w:rFonts w:ascii="Calibri" w:cs="Calibri" w:eastAsia="Calibri" w:hAnsi="Calibri"/>
          <w:b/>
          <w:bCs/>
          <w:color w:val="222222"/>
          <w:sz w:val="22"/>
          <w:szCs w:val="22"/>
        </w:rPr>
        <w:t xml:space="preserve">Form submit button: </w:t>
      </w:r>
      <w:r>
        <w:rPr>
          <w:rFonts w:ascii="Calibri" w:cs="Calibri" w:eastAsia="Calibri" w:hAnsi="Calibri"/>
          <w:color w:val="222222"/>
          <w:sz w:val="22"/>
          <w:szCs w:val="22"/>
        </w:rPr>
        <w:t xml:space="preserve">Request my discovery call</w:t>
      </w:r>
    </w:p>
    <w:p>
      <w:pPr>
        <w:spacing w:after="120" w:before="60" w:line="320"/>
        <w:jc w:val="left"/>
      </w:pPr>
      <w:r>
        <w:rPr>
          <w:rFonts w:ascii="Calibri" w:cs="Calibri" w:eastAsia="Calibri" w:hAnsi="Calibri"/>
          <w:b/>
          <w:bCs/>
          <w:color w:val="222222"/>
          <w:sz w:val="22"/>
          <w:szCs w:val="22"/>
        </w:rPr>
        <w:t xml:space="preserve">Form privacy micro-copy: </w:t>
      </w:r>
      <w:r>
        <w:rPr>
          <w:rFonts w:ascii="Calibri" w:cs="Calibri" w:eastAsia="Calibri" w:hAnsi="Calibri"/>
          <w:i/>
          <w:iCs/>
          <w:color w:val="222222"/>
          <w:sz w:val="22"/>
          <w:szCs w:val="22"/>
        </w:rPr>
        <w:t xml:space="preserve">Your details stay with Apex IT Solution. We do not share, sell, or add you to any third-party list. Conversations covered by client confidentiality from the first call.</w:t>
      </w:r>
    </w:p>
    <w:p>
      <w:pPr>
        <w:spacing w:after="200" w:before="0"/>
      </w:pPr>
      <w:r>
        <w:t xml:space="preserve"/>
      </w:r>
    </w:p>
    <w:tbl>
      <w:tblPr>
        <w:tblW w:type="dxa" w:w="9360"/>
        <w:tblBorders>
          <w:top w:val="single" w:color="1B2A4E" w:sz="12"/>
          <w:left w:val="single" w:color="1B2A4E" w:sz="4"/>
          <w:bottom w:val="single" w:color="1B2A4E" w:sz="4"/>
          <w:right w:val="single" w:color="1B2A4E" w:sz="4"/>
          <w:insideH w:val="none" w:color="FFFFFF" w:sz="0"/>
          <w:insideV w:val="none" w:color="FFFFFF" w:sz="0"/>
        </w:tblBorders>
      </w:tblPr>
      <w:tblGrid>
        <w:gridCol w:w="9360"/>
      </w:tblGrid>
      <w:tr>
        <w:tc>
          <w:tcPr>
            <w:tcW w:type="dxa" w:w="9360"/>
            <w:shd w:fill="F4F1EA" w:color="auto" w:val="clear"/>
            <w:tcMar>
              <w:top w:type="dxa" w:w="200"/>
              <w:left w:type="dxa" w:w="280"/>
              <w:bottom w:type="dxa" w:w="200"/>
              <w:right w:type="dxa" w:w="280"/>
            </w:tcMar>
          </w:tcPr>
          <w:p>
            <w:pPr>
              <w:spacing w:after="100" w:before="0"/>
            </w:pPr>
            <w:r>
              <w:rPr>
                <w:rFonts w:ascii="Calibri" w:cs="Calibri" w:eastAsia="Calibri" w:hAnsi="Calibri"/>
                <w:b/>
                <w:bCs/>
                <w:color w:val="B8860B"/>
                <w:spacing w:val="20"/>
                <w:sz w:val="18"/>
                <w:szCs w:val="18"/>
              </w:rPr>
              <w:t xml:space="preserve">SECONDARY CTA — WHATSAPP / EMAIL</w:t>
            </w:r>
          </w:p>
          <w:p>
            <w:pPr>
              <w:spacing w:after="120" w:before="0"/>
            </w:pPr>
            <w:r>
              <w:rPr>
                <w:rFonts w:ascii="Calibri" w:cs="Calibri" w:eastAsia="Calibri" w:hAnsi="Calibri"/>
                <w:b/>
                <w:bCs/>
                <w:color w:val="1B2A4E"/>
                <w:sz w:val="28"/>
                <w:szCs w:val="28"/>
              </w:rPr>
              <w:t xml:space="preserve">Prefer to WhatsApp?</w:t>
            </w:r>
          </w:p>
          <w:p>
            <w:pPr>
              <w:spacing w:after="120" w:before="0" w:line="320"/>
            </w:pPr>
            <w:r>
              <w:rPr>
                <w:rFonts w:ascii="Calibri" w:cs="Calibri" w:eastAsia="Calibri" w:hAnsi="Calibri"/>
                <w:color w:val="222222"/>
                <w:sz w:val="22"/>
                <w:szCs w:val="22"/>
              </w:rPr>
              <w:t xml:space="preserve">Message us directly. Navin or Nav will respond personally — typically within a few hours during business days.</w:t>
            </w:r>
          </w:p>
          <w:p>
            <w:pPr>
              <w:spacing w:after="80" w:before="0"/>
            </w:pPr>
            <w:r>
              <w:rPr>
                <w:rFonts w:ascii="Calibri" w:cs="Calibri" w:eastAsia="Calibri" w:hAnsi="Calibri"/>
                <w:b/>
                <w:bCs/>
                <w:color w:val="1B2A4E"/>
                <w:sz w:val="26"/>
                <w:szCs w:val="26"/>
              </w:rPr>
              <w:t xml:space="preserve">[ WhatsApp 017-974-2459 ]</w:t>
            </w:r>
          </w:p>
          <w:p>
            <w:pPr>
              <w:spacing w:after="80" w:before="0"/>
            </w:pPr>
            <w:r>
              <w:rPr>
                <w:rFonts w:ascii="Calibri" w:cs="Calibri" w:eastAsia="Calibri" w:hAnsi="Calibri"/>
                <w:color w:val="222222"/>
                <w:sz w:val="22"/>
                <w:szCs w:val="22"/>
              </w:rPr>
              <w:t xml:space="preserve">Or email us at apexsolmy@gmail.com</w:t>
            </w:r>
          </w:p>
          <w:p>
            <w:pPr>
              <w:spacing w:after="0" w:before="80"/>
            </w:pPr>
            <w:r>
              <w:rPr>
                <w:rFonts w:ascii="Calibri" w:cs="Calibri" w:eastAsia="Calibri" w:hAnsi="Calibri"/>
                <w:i/>
                <w:iCs/>
                <w:color w:val="666666"/>
                <w:sz w:val="20"/>
                <w:szCs w:val="20"/>
              </w:rPr>
              <w:t xml:space="preserve">Based in Sungai Besi, Kuala Lumpur. Serving law firms across Peninsular Malaysia.</w:t>
            </w:r>
          </w:p>
        </w:tc>
      </w:tr>
    </w:tbl>
    <w:p>
      <w:pPr>
        <w:pStyle w:val="Heading2"/>
        <w:pBdr>
          <w:bottom w:val="single" w:color="B8860B" w:sz="8" w:space="4"/>
        </w:pBdr>
        <w:spacing w:after="160" w:before="360"/>
      </w:pPr>
      <w:r>
        <w:rPr>
          <w:rFonts w:ascii="Calibri" w:cs="Calibri" w:eastAsia="Calibri" w:hAnsi="Calibri"/>
          <w:b/>
          <w:bCs/>
          <w:color w:val="1B2A4E"/>
          <w:sz w:val="32"/>
          <w:szCs w:val="32"/>
        </w:rPr>
        <w:t xml:space="preserve">11. Questions Partners Usually Ask</w:t>
      </w:r>
    </w:p>
    <w:p>
      <w:pPr>
        <w:pStyle w:val="Heading3"/>
        <w:spacing w:after="120" w:before="240"/>
      </w:pPr>
      <w:r>
        <w:rPr>
          <w:rFonts w:ascii="Calibri" w:cs="Calibri" w:eastAsia="Calibri" w:hAnsi="Calibri"/>
          <w:b/>
          <w:bCs/>
          <w:color w:val="1B2A4E"/>
          <w:sz w:val="26"/>
          <w:szCs w:val="26"/>
        </w:rPr>
        <w:t xml:space="preserve">Will the work you do actually comply with the 2025 Publicity Rules?</w:t>
      </w:r>
    </w:p>
    <w:p>
      <w:pPr>
        <w:spacing w:after="120" w:before="60" w:line="320"/>
        <w:jc w:val="left"/>
      </w:pPr>
      <w:r>
        <w:rPr>
          <w:rFonts w:ascii="Calibri" w:cs="Calibri" w:eastAsia="Calibri" w:hAnsi="Calibri"/>
          <w:color w:val="222222"/>
          <w:sz w:val="22"/>
          <w:szCs w:val="22"/>
        </w:rPr>
        <w:t xml:space="preserve">Compliance is the first filter on every deliverable, not an afterthought. Every piece of copy, every advertisement, every testimonial, every case reference is reviewed against Rules 4 through 7 of P.U.(A) 462/2025 and the surviving provisions of the Legal Profession (Practice and Etiquette) Rules 1978. Where a judgement call exists — particularly around specialisation claims, testimonials, and case references — we flag it, explain the risk, and let you or your compliance partner make the final decision. We also track Bar Council Rulings as they are updated; the Bar Council's Legal Profession Committee has indicated that further guidance is being developed (Malaysian Bar Circular No 471/2025), and we adjust client work accordingly.</w:t>
      </w:r>
    </w:p>
    <w:p>
      <w:pPr>
        <w:pStyle w:val="Heading3"/>
        <w:spacing w:after="120" w:before="240"/>
      </w:pPr>
      <w:r>
        <w:rPr>
          <w:rFonts w:ascii="Calibri" w:cs="Calibri" w:eastAsia="Calibri" w:hAnsi="Calibri"/>
          <w:b/>
          <w:bCs/>
          <w:color w:val="1B2A4E"/>
          <w:sz w:val="26"/>
          <w:szCs w:val="26"/>
        </w:rPr>
        <w:t xml:space="preserve">How much will this cost?</w:t>
      </w:r>
    </w:p>
    <w:p>
      <w:pPr>
        <w:spacing w:after="120" w:before="60" w:line="320"/>
        <w:jc w:val="left"/>
      </w:pPr>
      <w:r>
        <w:rPr>
          <w:rFonts w:ascii="Calibri" w:cs="Calibri" w:eastAsia="Calibri" w:hAnsi="Calibri"/>
          <w:color w:val="222222"/>
          <w:sz w:val="22"/>
          <w:szCs w:val="22"/>
        </w:rPr>
        <w:t xml:space="preserve">We quote only after the discovery call, because the right scope depends on your firm's size, practice mix, and existing digital assets. What we can tell you upfront: our engagements are structured as a one-time build fee plus an ongoing monthly maintenance retainer, so there are no hidden charges, and every firm we work with knows exactly what they are spending each month. Specific numbers come in your proposal, which follows the call.</w:t>
      </w:r>
    </w:p>
    <w:p>
      <w:pPr>
        <w:pStyle w:val="Heading3"/>
        <w:spacing w:after="120" w:before="240"/>
      </w:pPr>
      <w:r>
        <w:rPr>
          <w:rFonts w:ascii="Calibri" w:cs="Calibri" w:eastAsia="Calibri" w:hAnsi="Calibri"/>
          <w:b/>
          <w:bCs/>
          <w:color w:val="1B2A4E"/>
          <w:sz w:val="26"/>
          <w:szCs w:val="26"/>
        </w:rPr>
        <w:t xml:space="preserve">How much of our partners' time will this take?</w:t>
      </w:r>
    </w:p>
    <w:p>
      <w:pPr>
        <w:spacing w:after="120" w:before="60" w:line="320"/>
        <w:jc w:val="left"/>
      </w:pPr>
      <w:r>
        <w:rPr>
          <w:rFonts w:ascii="Calibri" w:cs="Calibri" w:eastAsia="Calibri" w:hAnsi="Calibri"/>
          <w:color w:val="222222"/>
          <w:sz w:val="22"/>
          <w:szCs w:val="22"/>
        </w:rPr>
        <w:t xml:space="preserve">Less than most firms expect, if the agency is competent. A typical website build requires roughly two to three one-hour sessions from your side over eight to twelve weeks — primarily to review copy, approve lawyer biographies, and sign off on practice area descriptions. Ongoing content programmes (client alerts, LinkedIn) can be structured around how much partner involvement you actually want: some firms draft internally and we polish and publish; others brief us verbally and we draft for review. We build the workflow around your capacity, not ours.</w:t>
      </w:r>
    </w:p>
    <w:p>
      <w:pPr>
        <w:pStyle w:val="Heading3"/>
        <w:spacing w:after="120" w:before="240"/>
      </w:pPr>
      <w:r>
        <w:rPr>
          <w:rFonts w:ascii="Calibri" w:cs="Calibri" w:eastAsia="Calibri" w:hAnsi="Calibri"/>
          <w:b/>
          <w:bCs/>
          <w:color w:val="1B2A4E"/>
          <w:sz w:val="26"/>
          <w:szCs w:val="26"/>
        </w:rPr>
        <w:t xml:space="preserve">When should we expect to see results?</w:t>
      </w:r>
    </w:p>
    <w:p>
      <w:pPr>
        <w:spacing w:after="120" w:before="60" w:line="320"/>
        <w:jc w:val="left"/>
      </w:pPr>
      <w:r>
        <w:rPr>
          <w:rFonts w:ascii="Calibri" w:cs="Calibri" w:eastAsia="Calibri" w:hAnsi="Calibri"/>
          <w:color w:val="222222"/>
          <w:sz w:val="22"/>
          <w:szCs w:val="22"/>
        </w:rPr>
        <w:t xml:space="preserve">Be cautious of anyone who gives you a precise answer. Honest ranges: a well-built Google Business Profile and a clean local SEO foundation often produces measurable visibility improvements within three to six months. Organic search rankings for competitive practice areas typically need six to twelve months of consistent content to move meaningfully. LinkedIn authority and thought-leadership traction builds over twelve to twenty-four months. We track it all monthly and report it plainly — if something is not working after a fair trial, we say so and change course.</w:t>
      </w:r>
    </w:p>
    <w:p>
      <w:pPr>
        <w:pStyle w:val="Heading3"/>
        <w:spacing w:after="120" w:before="240"/>
      </w:pPr>
      <w:r>
        <w:rPr>
          <w:rFonts w:ascii="Calibri" w:cs="Calibri" w:eastAsia="Calibri" w:hAnsi="Calibri"/>
          <w:b/>
          <w:bCs/>
          <w:color w:val="1B2A4E"/>
          <w:sz w:val="26"/>
          <w:szCs w:val="26"/>
        </w:rPr>
        <w:t xml:space="preserve">What if we already have a website and an agency?</w:t>
      </w:r>
    </w:p>
    <w:p>
      <w:pPr>
        <w:spacing w:after="120" w:before="60" w:line="320"/>
        <w:jc w:val="left"/>
      </w:pPr>
      <w:r>
        <w:rPr>
          <w:rFonts w:ascii="Calibri" w:cs="Calibri" w:eastAsia="Calibri" w:hAnsi="Calibri"/>
          <w:color w:val="222222"/>
          <w:sz w:val="22"/>
          <w:szCs w:val="22"/>
        </w:rPr>
        <w:t xml:space="preserve">That is often the best starting point for a discovery call. An audit of what you already have frequently surfaces quick wins — technical SEO issues, missing Google Business Profile claims, inconsistent compliance — that can be fixed without rebuilding. We have no interest in selling you work you do not need. If your current setup is fundamentally sound, we will tell you that.</w:t>
      </w:r>
    </w:p>
    <w:p>
      <w:pPr>
        <w:pStyle w:val="Heading3"/>
        <w:spacing w:after="120" w:before="240"/>
      </w:pPr>
      <w:r>
        <w:rPr>
          <w:rFonts w:ascii="Calibri" w:cs="Calibri" w:eastAsia="Calibri" w:hAnsi="Calibri"/>
          <w:b/>
          <w:bCs/>
          <w:color w:val="1B2A4E"/>
          <w:sz w:val="26"/>
          <w:szCs w:val="26"/>
        </w:rPr>
        <w:t xml:space="preserve">Is this confidential?</w:t>
      </w:r>
    </w:p>
    <w:p>
      <w:pPr>
        <w:spacing w:after="120" w:before="60" w:line="320"/>
        <w:jc w:val="left"/>
      </w:pPr>
      <w:r>
        <w:rPr>
          <w:rFonts w:ascii="Calibri" w:cs="Calibri" w:eastAsia="Calibri" w:hAnsi="Calibri"/>
          <w:color w:val="222222"/>
          <w:sz w:val="22"/>
          <w:szCs w:val="22"/>
        </w:rPr>
        <w:t xml:space="preserve">Yes. Everything discussed in the discovery call and in any subsequent engagement is treated as client-confidential from first contact. We have worked with professional services firms for nearly two decades and understand the sensitivity of partner-level conversations about strategy, succession, and revenue.</w:t>
      </w:r>
    </w:p>
    <w:p>
      <w:pPr>
        <w:pStyle w:val="Heading3"/>
        <w:spacing w:after="120" w:before="240"/>
      </w:pPr>
      <w:r>
        <w:rPr>
          <w:rFonts w:ascii="Calibri" w:cs="Calibri" w:eastAsia="Calibri" w:hAnsi="Calibri"/>
          <w:b/>
          <w:bCs/>
          <w:color w:val="1B2A4E"/>
          <w:sz w:val="26"/>
          <w:szCs w:val="26"/>
        </w:rPr>
        <w:t xml:space="preserve">Can we do this ourselves?</w:t>
      </w:r>
    </w:p>
    <w:p>
      <w:pPr>
        <w:spacing w:after="120" w:before="60" w:line="320"/>
        <w:jc w:val="left"/>
      </w:pPr>
      <w:r>
        <w:rPr>
          <w:rFonts w:ascii="Calibri" w:cs="Calibri" w:eastAsia="Calibri" w:hAnsi="Calibri"/>
          <w:color w:val="222222"/>
          <w:sz w:val="22"/>
          <w:szCs w:val="22"/>
        </w:rPr>
        <w:t xml:space="preserve">Some of it, yes. A small firm with a capable marketing-interested associate can run a credible LinkedIn programme and maintain a decent website on a platform like WordPress. What most firms under-estimate is the ongoing work: security patching, hosting reliability, SEO monitoring, compliance review of every new page, Google algorithm changes, content cadence discipline. For firms where partner time is the scarce resource, outsourcing is almost always the better economics. The discovery call will help you figure out which side of that line your firm sits on.</w:t>
      </w:r>
    </w:p>
    <w:p>
      <w:pPr>
        <w:spacing w:after="200" w:before="0"/>
      </w:pPr>
      <w:r>
        <w:t xml:space="preserve"/>
      </w:r>
    </w:p>
    <w:tbl>
      <w:tblPr>
        <w:tblW w:type="dxa" w:w="9360"/>
        <w:tblBorders>
          <w:top w:val="single" w:color="1B2A4E" w:sz="4"/>
          <w:left w:val="single" w:color="1B2A4E" w:sz="4"/>
          <w:bottom w:val="single" w:color="1B2A4E" w:sz="4"/>
          <w:right w:val="single" w:color="1B2A4E" w:sz="4"/>
          <w:insideH w:val="none" w:color="FFFFFF" w:sz="0"/>
          <w:insideV w:val="none" w:color="FFFFFF" w:sz="0"/>
        </w:tblBorders>
      </w:tblPr>
      <w:tblGrid>
        <w:gridCol w:w="9360"/>
      </w:tblGrid>
      <w:tr>
        <w:tc>
          <w:tcPr>
            <w:tcW w:type="dxa" w:w="9360"/>
            <w:shd w:fill="1B2A4E" w:color="auto" w:val="clear"/>
            <w:tcMar>
              <w:top w:type="dxa" w:w="280"/>
              <w:left w:type="dxa" w:w="320"/>
              <w:bottom w:type="dxa" w:w="280"/>
              <w:right w:type="dxa" w:w="320"/>
            </w:tcMar>
          </w:tcPr>
          <w:p>
            <w:pPr>
              <w:spacing w:after="140" w:before="0"/>
              <w:jc w:val="center"/>
            </w:pPr>
            <w:r>
              <w:rPr>
                <w:rFonts w:ascii="Calibri" w:cs="Calibri" w:eastAsia="Calibri" w:hAnsi="Calibri"/>
                <w:b/>
                <w:bCs/>
                <w:color w:val="B8860B"/>
                <w:spacing w:val="20"/>
                <w:sz w:val="18"/>
                <w:szCs w:val="18"/>
              </w:rPr>
              <w:t xml:space="preserve">FINAL CTA — REPEAT BLOCK / STICKY FOOTER</w:t>
            </w:r>
          </w:p>
          <w:p>
            <w:pPr>
              <w:spacing w:after="140" w:before="0" w:line="320"/>
              <w:jc w:val="center"/>
            </w:pPr>
            <w:r>
              <w:rPr>
                <w:rFonts w:ascii="Calibri" w:cs="Calibri" w:eastAsia="Calibri" w:hAnsi="Calibri"/>
                <w:b/>
                <w:bCs/>
                <w:color w:val="FFFFFF"/>
                <w:sz w:val="28"/>
                <w:szCs w:val="28"/>
              </w:rPr>
              <w:t xml:space="preserve">The 2025 Publicity Rules will not wait for your firm.</w:t>
            </w:r>
          </w:p>
          <w:p>
            <w:pPr>
              <w:spacing w:after="200" w:before="0" w:line="320"/>
              <w:jc w:val="center"/>
            </w:pPr>
            <w:r>
              <w:rPr>
                <w:rFonts w:ascii="Calibri" w:cs="Calibri" w:eastAsia="Calibri" w:hAnsi="Calibri"/>
                <w:b/>
                <w:bCs/>
                <w:i/>
                <w:iCs/>
                <w:color w:val="B8860B"/>
                <w:sz w:val="28"/>
                <w:szCs w:val="28"/>
              </w:rPr>
              <w:t xml:space="preserve">Your competitors are not waiting either.</w:t>
            </w:r>
          </w:p>
          <w:p>
            <w:pPr>
              <w:spacing w:after="100" w:before="0"/>
              <w:jc w:val="center"/>
            </w:pPr>
            <w:r>
              <w:rPr>
                <w:rFonts w:ascii="Calibri" w:cs="Calibri" w:eastAsia="Calibri" w:hAnsi="Calibri"/>
                <w:b/>
                <w:bCs/>
                <w:color w:val="FFFFFF"/>
                <w:sz w:val="24"/>
                <w:szCs w:val="24"/>
              </w:rPr>
              <w:t xml:space="preserve">Book a free discovery call · WhatsApp 017-974-2459</w:t>
            </w:r>
          </w:p>
          <w:p>
            <w:pPr>
              <w:spacing w:after="0" w:before="0"/>
              <w:jc w:val="center"/>
            </w:pPr>
            <w:r>
              <w:rPr>
                <w:rFonts w:ascii="Calibri" w:cs="Calibri" w:eastAsia="Calibri" w:hAnsi="Calibri"/>
                <w:i/>
                <w:iCs/>
                <w:color w:val="D5D9E0"/>
                <w:sz w:val="20"/>
                <w:szCs w:val="20"/>
              </w:rPr>
              <w:t xml:space="preserve">30 minutes. No pitch. A clear picture of where your firm stands and what the next move is.</w:t>
            </w:r>
          </w:p>
        </w:tc>
      </w:tr>
    </w:tbl>
    <w:p>
      <w:pPr>
        <w:pageBreakBefore/>
        <w:spacing w:after="0" w:before="600"/>
      </w:pPr>
      <w:r>
        <w:rPr>
          <w:sz w:val="2"/>
          <w:szCs w:val="2"/>
        </w:rPr>
        <w:t xml:space="preserve"/>
      </w:r>
    </w:p>
    <w:p>
      <w:pPr>
        <w:spacing w:after="40" w:before="160"/>
      </w:pPr>
      <w:r>
        <w:rPr>
          <w:rFonts w:ascii="Calibri" w:cs="Calibri" w:eastAsia="Calibri" w:hAnsi="Calibri"/>
          <w:b/>
          <w:bCs/>
          <w:color w:val="B8860B"/>
          <w:spacing w:val="20"/>
          <w:sz w:val="18"/>
          <w:szCs w:val="18"/>
        </w:rPr>
        <w:t xml:space="preserve">APPENDIX</w:t>
      </w:r>
    </w:p>
    <w:p>
      <w:pPr>
        <w:pStyle w:val="Heading1"/>
        <w:spacing w:after="160" w:before="240"/>
      </w:pPr>
      <w:r>
        <w:rPr>
          <w:rFonts w:ascii="Calibri" w:cs="Calibri" w:eastAsia="Calibri" w:hAnsi="Calibri"/>
          <w:b/>
          <w:bCs/>
          <w:color w:val="1B2A4E"/>
          <w:sz w:val="44"/>
          <w:szCs w:val="44"/>
        </w:rPr>
        <w:t xml:space="preserve">Design &amp; Visual Direction Notes</w:t>
      </w:r>
    </w:p>
    <w:p>
      <w:pPr>
        <w:spacing w:after="120" w:before="60" w:line="320"/>
        <w:jc w:val="left"/>
      </w:pPr>
      <w:r>
        <w:rPr>
          <w:rFonts w:ascii="Calibri" w:cs="Calibri" w:eastAsia="Calibri" w:hAnsi="Calibri"/>
          <w:color w:val="222222"/>
          <w:sz w:val="22"/>
          <w:szCs w:val="22"/>
        </w:rPr>
        <w:t xml:space="preserve">These are suggestions to hand to the developer/designer. The copy is the primary deliverable; the visual system should reinforce it without overwhelming it.</w:t>
      </w:r>
    </w:p>
    <w:p>
      <w:pPr>
        <w:pStyle w:val="Heading4"/>
        <w:spacing w:after="80" w:before="200"/>
      </w:pPr>
      <w:r>
        <w:rPr>
          <w:rFonts w:ascii="Calibri" w:cs="Calibri" w:eastAsia="Calibri" w:hAnsi="Calibri"/>
          <w:b/>
          <w:bCs/>
          <w:color w:val="1B2A4E"/>
          <w:sz w:val="22"/>
          <w:szCs w:val="22"/>
        </w:rPr>
        <w:t xml:space="preserve">Hero section</w:t>
      </w:r>
    </w:p>
    <w:p>
      <w:pPr>
        <w:spacing w:after="120" w:before="60" w:line="320"/>
        <w:jc w:val="left"/>
      </w:pPr>
      <w:r>
        <w:rPr>
          <w:rFonts w:ascii="Calibri" w:cs="Calibri" w:eastAsia="Calibri" w:hAnsi="Calibri"/>
          <w:color w:val="222222"/>
          <w:sz w:val="22"/>
          <w:szCs w:val="22"/>
        </w:rPr>
        <w:t xml:space="preserve">Avoid stock photos of gavels, scales, and handshakes — every law firm website in the country uses them and they subtly undermine the “we understand your market” positioning. Better options: a clean, confident typographic treatment of the H1 over a subtle Malaysian architectural reference (KL skyline silhouette, Sungai Besi streetscape line-art, or the Palace of Justice in minimal line form). Keep the hero uncluttered. Primary CTA button in a strong brand colour; secondary WhatsApp button in outline style with the WhatsApp green icon.</w:t>
      </w:r>
    </w:p>
    <w:p>
      <w:pPr>
        <w:pStyle w:val="Heading4"/>
        <w:spacing w:after="80" w:before="200"/>
      </w:pPr>
      <w:r>
        <w:rPr>
          <w:rFonts w:ascii="Calibri" w:cs="Calibri" w:eastAsia="Calibri" w:hAnsi="Calibri"/>
          <w:b/>
          <w:bCs/>
          <w:color w:val="1B2A4E"/>
          <w:sz w:val="22"/>
          <w:szCs w:val="22"/>
        </w:rPr>
        <w:t xml:space="preserve">Regulatory moment section (Section 2)</w:t>
      </w:r>
    </w:p>
    <w:p>
      <w:pPr>
        <w:spacing w:after="120" w:before="60" w:line="320"/>
        <w:jc w:val="left"/>
      </w:pPr>
      <w:r>
        <w:rPr>
          <w:rFonts w:ascii="Calibri" w:cs="Calibri" w:eastAsia="Calibri" w:hAnsi="Calibri"/>
          <w:color w:val="222222"/>
          <w:sz w:val="22"/>
          <w:szCs w:val="22"/>
        </w:rPr>
        <w:t xml:space="preserve">Include a clean two-column “Before 2001 Rules / After 2025 Rules” comparison card as a visual anchor. This is the most share-worthy element on the page and will get screenshot-forwarded by partners to colleagues. Consider a downloadable one-page PDF summary of the rule changes as a secondary lead magnet (“Email me the summary”), which also captures leads not yet ready for a call.</w:t>
      </w:r>
    </w:p>
    <w:p>
      <w:pPr>
        <w:pStyle w:val="Heading4"/>
        <w:spacing w:after="80" w:before="200"/>
      </w:pPr>
      <w:r>
        <w:rPr>
          <w:rFonts w:ascii="Calibri" w:cs="Calibri" w:eastAsia="Calibri" w:hAnsi="Calibri"/>
          <w:b/>
          <w:bCs/>
          <w:color w:val="1B2A4E"/>
          <w:sz w:val="22"/>
          <w:szCs w:val="22"/>
        </w:rPr>
        <w:t xml:space="preserve">Pain points section (Section 3)</w:t>
      </w:r>
    </w:p>
    <w:p>
      <w:pPr>
        <w:spacing w:after="120" w:before="60" w:line="320"/>
        <w:jc w:val="left"/>
      </w:pPr>
      <w:r>
        <w:rPr>
          <w:rFonts w:ascii="Calibri" w:cs="Calibri" w:eastAsia="Calibri" w:hAnsi="Calibri"/>
          <w:color w:val="222222"/>
          <w:sz w:val="22"/>
          <w:szCs w:val="22"/>
        </w:rPr>
        <w:t xml:space="preserve">Use bold statistic callout boxes — each stat in a large display size with the source in small type beneath. Four or five stat cards arranged as a grid, not as inline text. This is the section that works cold for paid-ad traffic; it should be scannable in 10 seconds.</w:t>
      </w:r>
    </w:p>
    <w:p>
      <w:pPr>
        <w:pStyle w:val="Heading4"/>
        <w:spacing w:after="80" w:before="200"/>
      </w:pPr>
      <w:r>
        <w:rPr>
          <w:rFonts w:ascii="Calibri" w:cs="Calibri" w:eastAsia="Calibri" w:hAnsi="Calibri"/>
          <w:b/>
          <w:bCs/>
          <w:color w:val="1B2A4E"/>
          <w:sz w:val="22"/>
          <w:szCs w:val="22"/>
        </w:rPr>
        <w:t xml:space="preserve">Client behaviour section (Section 4)</w:t>
      </w:r>
    </w:p>
    <w:p>
      <w:pPr>
        <w:spacing w:after="120" w:before="60" w:line="320"/>
        <w:jc w:val="left"/>
      </w:pPr>
      <w:r>
        <w:rPr>
          <w:rFonts w:ascii="Calibri" w:cs="Calibri" w:eastAsia="Calibri" w:hAnsi="Calibri"/>
          <w:color w:val="222222"/>
          <w:sz w:val="22"/>
          <w:szCs w:val="22"/>
        </w:rPr>
        <w:t xml:space="preserve">Suggest a simple illustrated journey graphic showing “prospect Googles → compares 2–3 firms → reads reviews → shortlists → contacts.” This visualises the multi-firm competitive dynamic the copy describes.</w:t>
      </w:r>
    </w:p>
    <w:p>
      <w:pPr>
        <w:pStyle w:val="Heading4"/>
        <w:spacing w:after="80" w:before="200"/>
      </w:pPr>
      <w:r>
        <w:rPr>
          <w:rFonts w:ascii="Calibri" w:cs="Calibri" w:eastAsia="Calibri" w:hAnsi="Calibri"/>
          <w:b/>
          <w:bCs/>
          <w:color w:val="1B2A4E"/>
          <w:sz w:val="22"/>
          <w:szCs w:val="22"/>
        </w:rPr>
        <w:t xml:space="preserve">Global context section (Section 5)</w:t>
      </w:r>
    </w:p>
    <w:p>
      <w:pPr>
        <w:spacing w:after="120" w:before="60" w:line="320"/>
        <w:jc w:val="left"/>
      </w:pPr>
      <w:r>
        <w:rPr>
          <w:rFonts w:ascii="Calibri" w:cs="Calibri" w:eastAsia="Calibri" w:hAnsi="Calibri"/>
          <w:color w:val="222222"/>
          <w:sz w:val="22"/>
          <w:szCs w:val="22"/>
        </w:rPr>
        <w:t xml:space="preserve">Optional small logo grid of the Singapore Big Six firms (Allen &amp; Gledhill, Rajah &amp; Tann, WongPartnership, Drew &amp; Napier, Dentons Rodyk, Lee &amp; Lee) with a caption like “firms Malaysian clients are quietly comparing you to.” Check logo-usage permissions first; if rights are not clear, use neutral text references instead.</w:t>
      </w:r>
    </w:p>
    <w:p>
      <w:pPr>
        <w:pStyle w:val="Heading4"/>
        <w:spacing w:after="80" w:before="200"/>
      </w:pPr>
      <w:r>
        <w:rPr>
          <w:rFonts w:ascii="Calibri" w:cs="Calibri" w:eastAsia="Calibri" w:hAnsi="Calibri"/>
          <w:b/>
          <w:bCs/>
          <w:color w:val="1B2A4E"/>
          <w:sz w:val="22"/>
          <w:szCs w:val="22"/>
        </w:rPr>
        <w:t xml:space="preserve">Four archetypes section (Section 6)</w:t>
      </w:r>
    </w:p>
    <w:p>
      <w:pPr>
        <w:spacing w:after="120" w:before="60" w:line="320"/>
        <w:jc w:val="left"/>
      </w:pPr>
      <w:r>
        <w:rPr>
          <w:rFonts w:ascii="Calibri" w:cs="Calibri" w:eastAsia="Calibri" w:hAnsi="Calibri"/>
          <w:color w:val="222222"/>
          <w:sz w:val="22"/>
          <w:szCs w:val="22"/>
        </w:rPr>
        <w:t xml:space="preserve">Four cards, one per archetype, each with a simple line icon, a short description, and a micro-CTA (“Sounds like us →” scrolling to the form). This is where self-segmenting visitors are most likely to convert.</w:t>
      </w:r>
    </w:p>
    <w:p>
      <w:pPr>
        <w:pStyle w:val="Heading4"/>
        <w:spacing w:after="80" w:before="200"/>
      </w:pPr>
      <w:r>
        <w:rPr>
          <w:rFonts w:ascii="Calibri" w:cs="Calibri" w:eastAsia="Calibri" w:hAnsi="Calibri"/>
          <w:b/>
          <w:bCs/>
          <w:color w:val="1B2A4E"/>
          <w:sz w:val="22"/>
          <w:szCs w:val="22"/>
        </w:rPr>
        <w:t xml:space="preserve">Why Apex section (Section 7)</w:t>
      </w:r>
    </w:p>
    <w:p>
      <w:pPr>
        <w:spacing w:after="120" w:before="60" w:line="320"/>
        <w:jc w:val="left"/>
      </w:pPr>
      <w:r>
        <w:rPr>
          <w:rFonts w:ascii="Calibri" w:cs="Calibri" w:eastAsia="Calibri" w:hAnsi="Calibri"/>
          <w:color w:val="222222"/>
          <w:sz w:val="22"/>
          <w:szCs w:val="22"/>
        </w:rPr>
        <w:t xml:space="preserve">Include a genuine photo of Navin (and Nav, if appropriate) — small, professional, unaffected. The “small team on purpose” positioning is strengthened, not weakened, by being visible about it. Also include the “Since 2006” mark as a trust element.</w:t>
      </w:r>
    </w:p>
    <w:p>
      <w:pPr>
        <w:pStyle w:val="Heading4"/>
        <w:spacing w:after="80" w:before="200"/>
      </w:pPr>
      <w:r>
        <w:rPr>
          <w:rFonts w:ascii="Calibri" w:cs="Calibri" w:eastAsia="Calibri" w:hAnsi="Calibri"/>
          <w:b/>
          <w:bCs/>
          <w:color w:val="1B2A4E"/>
          <w:sz w:val="22"/>
          <w:szCs w:val="22"/>
        </w:rPr>
        <w:t xml:space="preserve">Testimonials (Section 8)</w:t>
      </w:r>
    </w:p>
    <w:p>
      <w:pPr>
        <w:spacing w:after="120" w:before="60" w:line="320"/>
        <w:jc w:val="left"/>
      </w:pPr>
      <w:r>
        <w:rPr>
          <w:rFonts w:ascii="Calibri" w:cs="Calibri" w:eastAsia="Calibri" w:hAnsi="Calibri"/>
          <w:color w:val="222222"/>
          <w:sz w:val="22"/>
          <w:szCs w:val="22"/>
        </w:rPr>
        <w:t xml:space="preserve">Once collected, present as full-width quote cards with client photo, name, firm, and role. Consider video testimonials for the most willing clients — the Clio data cited above shows video materially increases perceived credibility.</w:t>
      </w:r>
    </w:p>
    <w:p>
      <w:pPr>
        <w:pStyle w:val="Heading4"/>
        <w:spacing w:after="80" w:before="200"/>
      </w:pPr>
      <w:r>
        <w:rPr>
          <w:rFonts w:ascii="Calibri" w:cs="Calibri" w:eastAsia="Calibri" w:hAnsi="Calibri"/>
          <w:b/>
          <w:bCs/>
          <w:color w:val="1B2A4E"/>
          <w:sz w:val="22"/>
          <w:szCs w:val="22"/>
        </w:rPr>
        <w:t xml:space="preserve">Discovery call section (Section 9)</w:t>
      </w:r>
    </w:p>
    <w:p>
      <w:pPr>
        <w:spacing w:after="120" w:before="60" w:line="320"/>
        <w:jc w:val="left"/>
      </w:pPr>
      <w:r>
        <w:rPr>
          <w:rFonts w:ascii="Calibri" w:cs="Calibri" w:eastAsia="Calibri" w:hAnsi="Calibri"/>
          <w:color w:val="222222"/>
          <w:sz w:val="22"/>
          <w:szCs w:val="22"/>
        </w:rPr>
        <w:t xml:space="preserve">A visual “what happens in the 30 minutes” timeline (minute 0–10 audit walkthrough, minute 10–25 strategy discussion, minute 25–30 clear next steps) reduces the perceived friction of booking.</w:t>
      </w:r>
    </w:p>
    <w:p>
      <w:pPr>
        <w:pStyle w:val="Heading4"/>
        <w:spacing w:after="80" w:before="200"/>
      </w:pPr>
      <w:r>
        <w:rPr>
          <w:rFonts w:ascii="Calibri" w:cs="Calibri" w:eastAsia="Calibri" w:hAnsi="Calibri"/>
          <w:b/>
          <w:bCs/>
          <w:color w:val="1B2A4E"/>
          <w:sz w:val="22"/>
          <w:szCs w:val="22"/>
        </w:rPr>
        <w:t xml:space="preserve">Lead form (Section 10)</w:t>
      </w:r>
    </w:p>
    <w:p>
      <w:pPr>
        <w:spacing w:after="120" w:before="60" w:line="320"/>
        <w:jc w:val="left"/>
      </w:pPr>
      <w:r>
        <w:rPr>
          <w:rFonts w:ascii="Calibri" w:cs="Calibri" w:eastAsia="Calibri" w:hAnsi="Calibri"/>
          <w:color w:val="222222"/>
          <w:sz w:val="22"/>
          <w:szCs w:val="22"/>
        </w:rPr>
        <w:t xml:space="preserve">Keep it visually light. Place it above-the-fold at the bottom of the page with the WhatsApp option as a visible parallel path. Include a small calendar preview if feasible (Calendly-style) for partners who want to self-schedule. The WhatsApp button should use the official WhatsApp icon and green.</w:t>
      </w:r>
    </w:p>
    <w:p>
      <w:pPr>
        <w:pStyle w:val="Heading4"/>
        <w:spacing w:after="80" w:before="200"/>
      </w:pPr>
      <w:r>
        <w:rPr>
          <w:rFonts w:ascii="Calibri" w:cs="Calibri" w:eastAsia="Calibri" w:hAnsi="Calibri"/>
          <w:b/>
          <w:bCs/>
          <w:color w:val="1B2A4E"/>
          <w:sz w:val="22"/>
          <w:szCs w:val="22"/>
        </w:rPr>
        <w:t xml:space="preserve">FAQ section (Section 11)</w:t>
      </w:r>
    </w:p>
    <w:p>
      <w:pPr>
        <w:spacing w:after="120" w:before="60" w:line="320"/>
        <w:jc w:val="left"/>
      </w:pPr>
      <w:r>
        <w:rPr>
          <w:rFonts w:ascii="Calibri" w:cs="Calibri" w:eastAsia="Calibri" w:hAnsi="Calibri"/>
          <w:color w:val="222222"/>
          <w:sz w:val="22"/>
          <w:szCs w:val="22"/>
        </w:rPr>
        <w:t xml:space="preserve">Accordion-style, expand on click. Keep the first two questions (compliance, cost) expanded by default — those are the top objections and their answers are also the most persuasive selling points.</w:t>
      </w:r>
    </w:p>
    <w:p>
      <w:pPr>
        <w:pStyle w:val="Heading4"/>
        <w:spacing w:after="80" w:before="200"/>
      </w:pPr>
      <w:r>
        <w:rPr>
          <w:rFonts w:ascii="Calibri" w:cs="Calibri" w:eastAsia="Calibri" w:hAnsi="Calibri"/>
          <w:b/>
          <w:bCs/>
          <w:color w:val="1B2A4E"/>
          <w:sz w:val="22"/>
          <w:szCs w:val="22"/>
        </w:rPr>
        <w:t xml:space="preserve">Sticky elements</w:t>
      </w:r>
    </w:p>
    <w:p>
      <w:pPr>
        <w:spacing w:after="120" w:before="60" w:line="320"/>
        <w:jc w:val="left"/>
      </w:pPr>
      <w:r>
        <w:rPr>
          <w:rFonts w:ascii="Calibri" w:cs="Calibri" w:eastAsia="Calibri" w:hAnsi="Calibri"/>
          <w:color w:val="222222"/>
          <w:sz w:val="22"/>
          <w:szCs w:val="22"/>
        </w:rPr>
        <w:t xml:space="preserve">A slim sticky header with the “Book a discovery call” button on scroll. On mobile, a sticky bottom bar with WhatsApp + Call CTAs, given the audience will often read this on phones between meetings.</w:t>
      </w:r>
    </w:p>
    <w:p>
      <w:pPr>
        <w:pStyle w:val="Heading4"/>
        <w:spacing w:after="80" w:before="200"/>
      </w:pPr>
      <w:r>
        <w:rPr>
          <w:rFonts w:ascii="Calibri" w:cs="Calibri" w:eastAsia="Calibri" w:hAnsi="Calibri"/>
          <w:b/>
          <w:bCs/>
          <w:color w:val="1B2A4E"/>
          <w:sz w:val="22"/>
          <w:szCs w:val="22"/>
        </w:rPr>
        <w:t xml:space="preserve">Performance</w:t>
      </w:r>
    </w:p>
    <w:p>
      <w:pPr>
        <w:spacing w:after="120" w:before="60" w:line="320"/>
        <w:jc w:val="left"/>
      </w:pPr>
      <w:r>
        <w:rPr>
          <w:rFonts w:ascii="Calibri" w:cs="Calibri" w:eastAsia="Calibri" w:hAnsi="Calibri"/>
          <w:color w:val="222222"/>
          <w:sz w:val="22"/>
          <w:szCs w:val="22"/>
        </w:rPr>
        <w:t xml:space="preserve">This page will run as a paid ad landing page. It must load under 2 seconds on 4G Malaysian mobile, which means compressed images, no auto-play video in the hero, and minimal third-party scripts. Implement proper schema markup (Organization, LocalBusiness, FAQPage) for SEO.</w:t>
      </w:r>
    </w:p>
    <w:p>
      <w:pPr>
        <w:pStyle w:val="Heading4"/>
        <w:spacing w:after="80" w:before="200"/>
      </w:pPr>
      <w:r>
        <w:rPr>
          <w:rFonts w:ascii="Calibri" w:cs="Calibri" w:eastAsia="Calibri" w:hAnsi="Calibri"/>
          <w:b/>
          <w:bCs/>
          <w:color w:val="1B2A4E"/>
          <w:sz w:val="22"/>
          <w:szCs w:val="22"/>
        </w:rPr>
        <w:t xml:space="preserve">Accessibility and language</w:t>
      </w:r>
    </w:p>
    <w:p>
      <w:pPr>
        <w:spacing w:after="120" w:before="60" w:line="320"/>
        <w:jc w:val="left"/>
      </w:pPr>
      <w:r>
        <w:rPr>
          <w:rFonts w:ascii="Calibri" w:cs="Calibri" w:eastAsia="Calibri" w:hAnsi="Calibri"/>
          <w:color w:val="222222"/>
          <w:sz w:val="22"/>
          <w:szCs w:val="22"/>
        </w:rPr>
        <w:t xml:space="preserve">Body copy uses Malaysian English spellings throughout (organisation, prioritise, practise as a verb, specialisation, centre). All body copy sits at roughly a Grade 10–11 reading level — direct enough for a busy partner, not so casual it undermines the professional register. Ensure AA contrast ratios and alt text on all statistic graphics.</w:t>
      </w:r>
    </w:p>
    <w:p>
      <w:pPr>
        <w:pStyle w:val="Heading4"/>
        <w:spacing w:after="80" w:before="200"/>
      </w:pPr>
      <w:r>
        <w:rPr>
          <w:rFonts w:ascii="Calibri" w:cs="Calibri" w:eastAsia="Calibri" w:hAnsi="Calibri"/>
          <w:b/>
          <w:bCs/>
          <w:color w:val="1B2A4E"/>
          <w:sz w:val="22"/>
          <w:szCs w:val="22"/>
        </w:rPr>
        <w:t xml:space="preserve">What NOT to add</w:t>
      </w:r>
    </w:p>
    <w:p>
      <w:pPr>
        <w:spacing w:after="120" w:before="60" w:line="320"/>
        <w:jc w:val="left"/>
      </w:pPr>
      <w:r>
        <w:rPr>
          <w:rFonts w:ascii="Calibri" w:cs="Calibri" w:eastAsia="Calibri" w:hAnsi="Calibri"/>
          <w:color w:val="222222"/>
          <w:sz w:val="22"/>
          <w:szCs w:val="22"/>
        </w:rPr>
        <w:t xml:space="preserve">No pricing. No “get a quote in 60 seconds” calculators — they cheapen the positioning. No live chatbot on first launch; the Clio research shows clients prefer humans, and a poorly-trained bot on a law firm page will damage credibility. No client logos used without explicit written permission and compliance review.</w:t>
      </w:r>
    </w:p>
    <w:p>
      <w:pPr>
        <w:pStyle w:val="Heading2"/>
        <w:pBdr>
          <w:bottom w:val="single" w:color="B8860B" w:sz="8" w:space="4"/>
        </w:pBdr>
        <w:spacing w:after="160" w:before="360"/>
      </w:pPr>
      <w:r>
        <w:rPr>
          <w:rFonts w:ascii="Calibri" w:cs="Calibri" w:eastAsia="Calibri" w:hAnsi="Calibri"/>
          <w:b/>
          <w:bCs/>
          <w:color w:val="1B2A4E"/>
          <w:sz w:val="32"/>
          <w:szCs w:val="32"/>
        </w:rPr>
        <w:t xml:space="preserve">Sources Cited</w:t>
      </w:r>
    </w:p>
    <w:p>
      <w:pPr>
        <w:spacing w:after="120" w:before="60" w:line="320"/>
        <w:jc w:val="left"/>
      </w:pPr>
      <w:r>
        <w:rPr>
          <w:rFonts w:ascii="Calibri" w:cs="Calibri" w:eastAsia="Calibri" w:hAnsi="Calibri"/>
          <w:color w:val="222222"/>
          <w:sz w:val="22"/>
          <w:szCs w:val="22"/>
        </w:rPr>
        <w:t xml:space="preserve">All statistics and quoted material are attributed inline in the body copy. Primary sources consulted:</w:t>
      </w:r>
    </w:p>
    <w:p>
      <w:pPr>
        <w:pStyle w:val="ListParagraph"/>
        <w:numPr>
          <w:ilvl w:val="0"/>
          <w:numId w:val="2"/>
        </w:numPr>
        <w:spacing w:after="80" w:before="40" w:line="300"/>
      </w:pPr>
      <w:r>
        <w:rPr>
          <w:rFonts w:ascii="Calibri" w:cs="Calibri" w:eastAsia="Calibri" w:hAnsi="Calibri"/>
          <w:color w:val="222222"/>
          <w:sz w:val="22"/>
          <w:szCs w:val="22"/>
        </w:rPr>
        <w:t xml:space="preserve">Malaysian Bar Circular No 471/2025 — Legal Profession (Publicity) Rules 2025 (31 December 2025)</w:t>
      </w:r>
    </w:p>
    <w:p>
      <w:pPr>
        <w:pStyle w:val="ListParagraph"/>
        <w:numPr>
          <w:ilvl w:val="0"/>
          <w:numId w:val="2"/>
        </w:numPr>
        <w:spacing w:after="80" w:before="40" w:line="300"/>
      </w:pPr>
      <w:r>
        <w:rPr>
          <w:rFonts w:ascii="Calibri" w:cs="Calibri" w:eastAsia="Calibri" w:hAnsi="Calibri"/>
          <w:color w:val="222222"/>
          <w:sz w:val="22"/>
          <w:szCs w:val="22"/>
        </w:rPr>
        <w:t xml:space="preserve">Legal Profession (Publicity) Rules 2025 — P.U.(A) 462/2025, Federal Gazette (26 December 2025)</w:t>
      </w:r>
    </w:p>
    <w:p>
      <w:pPr>
        <w:pStyle w:val="ListParagraph"/>
        <w:numPr>
          <w:ilvl w:val="0"/>
          <w:numId w:val="2"/>
        </w:numPr>
        <w:spacing w:after="80" w:before="40" w:line="300"/>
      </w:pPr>
      <w:r>
        <w:rPr>
          <w:rFonts w:ascii="Calibri" w:cs="Calibri" w:eastAsia="Calibri" w:hAnsi="Calibri"/>
          <w:color w:val="222222"/>
          <w:sz w:val="22"/>
          <w:szCs w:val="22"/>
        </w:rPr>
        <w:t xml:space="preserve">Malaysian Bar, General Statistics (30 June 2025)</w:t>
      </w:r>
    </w:p>
    <w:p>
      <w:pPr>
        <w:pStyle w:val="ListParagraph"/>
        <w:numPr>
          <w:ilvl w:val="0"/>
          <w:numId w:val="2"/>
        </w:numPr>
        <w:spacing w:after="80" w:before="40" w:line="300"/>
      </w:pPr>
      <w:r>
        <w:rPr>
          <w:rFonts w:ascii="Calibri" w:cs="Calibri" w:eastAsia="Calibri" w:hAnsi="Calibri"/>
          <w:color w:val="222222"/>
          <w:sz w:val="22"/>
          <w:szCs w:val="22"/>
        </w:rPr>
        <w:t xml:space="preserve">Free Malaysia Today — “Law firms free to market services but integrity paramount, say lawyers” (9 January 2026)</w:t>
      </w:r>
    </w:p>
    <w:p>
      <w:pPr>
        <w:pStyle w:val="ListParagraph"/>
        <w:numPr>
          <w:ilvl w:val="0"/>
          <w:numId w:val="2"/>
        </w:numPr>
        <w:spacing w:after="80" w:before="40" w:line="300"/>
      </w:pPr>
      <w:r>
        <w:rPr>
          <w:rFonts w:ascii="Calibri" w:cs="Calibri" w:eastAsia="Calibri" w:hAnsi="Calibri"/>
          <w:color w:val="222222"/>
          <w:sz w:val="22"/>
          <w:szCs w:val="22"/>
        </w:rPr>
        <w:t xml:space="preserve">Martindale-Avvo — Understanding the Legal Consumer 2024</w:t>
      </w:r>
    </w:p>
    <w:p>
      <w:pPr>
        <w:pStyle w:val="ListParagraph"/>
        <w:numPr>
          <w:ilvl w:val="0"/>
          <w:numId w:val="2"/>
        </w:numPr>
        <w:spacing w:after="80" w:before="40" w:line="300"/>
      </w:pPr>
      <w:r>
        <w:rPr>
          <w:rFonts w:ascii="Calibri" w:cs="Calibri" w:eastAsia="Calibri" w:hAnsi="Calibri"/>
          <w:color w:val="222222"/>
          <w:sz w:val="22"/>
          <w:szCs w:val="22"/>
        </w:rPr>
        <w:t xml:space="preserve">Thomson Reuters / FindLaw — U.S. Consumer Legal Needs Survey 2024</w:t>
      </w:r>
    </w:p>
    <w:p>
      <w:pPr>
        <w:pStyle w:val="ListParagraph"/>
        <w:numPr>
          <w:ilvl w:val="0"/>
          <w:numId w:val="2"/>
        </w:numPr>
        <w:spacing w:after="80" w:before="40" w:line="300"/>
      </w:pPr>
      <w:r>
        <w:rPr>
          <w:rFonts w:ascii="Calibri" w:cs="Calibri" w:eastAsia="Calibri" w:hAnsi="Calibri"/>
          <w:color w:val="222222"/>
          <w:sz w:val="22"/>
          <w:szCs w:val="22"/>
        </w:rPr>
        <w:t xml:space="preserve">Clio — 2024 Legal Trends Report and 2025 Legal Trends Report</w:t>
      </w:r>
    </w:p>
    <w:p>
      <w:pPr>
        <w:pStyle w:val="ListParagraph"/>
        <w:numPr>
          <w:ilvl w:val="0"/>
          <w:numId w:val="2"/>
        </w:numPr>
        <w:spacing w:after="80" w:before="40" w:line="300"/>
      </w:pPr>
      <w:r>
        <w:rPr>
          <w:rFonts w:ascii="Calibri" w:cs="Calibri" w:eastAsia="Calibri" w:hAnsi="Calibri"/>
          <w:color w:val="222222"/>
          <w:sz w:val="22"/>
          <w:szCs w:val="22"/>
        </w:rPr>
        <w:t xml:space="preserve">BrightLocal — Local Consumer Review Survey 2024</w:t>
      </w:r>
    </w:p>
    <w:p>
      <w:pPr>
        <w:pStyle w:val="ListParagraph"/>
        <w:numPr>
          <w:ilvl w:val="0"/>
          <w:numId w:val="2"/>
        </w:numPr>
        <w:spacing w:after="80" w:before="40" w:line="300"/>
      </w:pPr>
      <w:r>
        <w:rPr>
          <w:rFonts w:ascii="Calibri" w:cs="Calibri" w:eastAsia="Calibri" w:hAnsi="Calibri"/>
          <w:color w:val="222222"/>
          <w:sz w:val="22"/>
          <w:szCs w:val="22"/>
        </w:rPr>
        <w:t xml:space="preserve">BTI Consulting Group — Practice Outlook 2025</w:t>
      </w:r>
    </w:p>
    <w:p>
      <w:pPr>
        <w:pStyle w:val="ListParagraph"/>
        <w:numPr>
          <w:ilvl w:val="0"/>
          <w:numId w:val="2"/>
        </w:numPr>
        <w:spacing w:after="80" w:before="40" w:line="300"/>
      </w:pPr>
      <w:r>
        <w:rPr>
          <w:rFonts w:ascii="Calibri" w:cs="Calibri" w:eastAsia="Calibri" w:hAnsi="Calibri"/>
          <w:color w:val="222222"/>
          <w:sz w:val="22"/>
          <w:szCs w:val="22"/>
        </w:rPr>
        <w:t xml:space="preserve">Greentarget / Zeughauser Group — State of Digital &amp; Content Marketing Survey (2022, 2023)</w:t>
      </w:r>
    </w:p>
    <w:p>
      <w:pPr>
        <w:pStyle w:val="ListParagraph"/>
        <w:numPr>
          <w:ilvl w:val="0"/>
          <w:numId w:val="2"/>
        </w:numPr>
        <w:spacing w:after="80" w:before="40" w:line="300"/>
      </w:pPr>
      <w:r>
        <w:rPr>
          <w:rFonts w:ascii="Calibri" w:cs="Calibri" w:eastAsia="Calibri" w:hAnsi="Calibri"/>
          <w:color w:val="222222"/>
          <w:sz w:val="22"/>
          <w:szCs w:val="22"/>
        </w:rPr>
        <w:t xml:space="preserve">American Bar Association — 2023 Websites &amp; Marketing TechReport, 2024 Legal Technology Survey</w:t>
      </w:r>
    </w:p>
    <w:p>
      <w:pPr>
        <w:pStyle w:val="ListParagraph"/>
        <w:numPr>
          <w:ilvl w:val="0"/>
          <w:numId w:val="2"/>
        </w:numPr>
        <w:spacing w:after="80" w:before="40" w:line="300"/>
      </w:pPr>
      <w:r>
        <w:rPr>
          <w:rFonts w:ascii="Calibri" w:cs="Calibri" w:eastAsia="Calibri" w:hAnsi="Calibri"/>
          <w:color w:val="222222"/>
          <w:sz w:val="22"/>
          <w:szCs w:val="22"/>
        </w:rPr>
        <w:t xml:space="preserve">iLawyerMarketing — 2024 consumer study on how clients choose lawyers online</w:t>
      </w:r>
    </w:p>
    <w:p>
      <w:pPr>
        <w:pStyle w:val="ListParagraph"/>
        <w:numPr>
          <w:ilvl w:val="0"/>
          <w:numId w:val="2"/>
        </w:numPr>
        <w:spacing w:after="80" w:before="40" w:line="300"/>
      </w:pPr>
      <w:r>
        <w:rPr>
          <w:rFonts w:ascii="Calibri" w:cs="Calibri" w:eastAsia="Calibri" w:hAnsi="Calibri"/>
          <w:color w:val="222222"/>
          <w:sz w:val="22"/>
          <w:szCs w:val="22"/>
        </w:rPr>
        <w:t xml:space="preserve">Hashmeta — Legal SEO guide for Singapore law firms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666666"/>
        <w:sz w:val="18"/>
        <w:szCs w:val="18"/>
      </w:rPr>
      <w:t xml:space="preserve">apexsolutions.my  ·  017-974-2459  ·  apexsolmy@gmail.com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spacing w:after="0"/>
      <w:jc w:val="right"/>
    </w:pPr>
    <w:r>
      <w:rPr>
        <w:rFonts w:ascii="Calibri" w:cs="Calibri" w:eastAsia="Calibri" w:hAnsi="Calibri"/>
        <w:b/>
        <w:bCs/>
        <w:color w:val="1B2A4E"/>
        <w:spacing w:val="20"/>
        <w:sz w:val="18"/>
        <w:szCs w:val="18"/>
      </w:rPr>
      <w:t xml:space="preserve">APEX IT SOLUTION</w:t>
    </w:r>
    <w:r>
      <w:rPr>
        <w:rFonts w:ascii="Calibri" w:cs="Calibri" w:eastAsia="Calibri" w:hAnsi="Calibri"/>
        <w:color w:val="666666"/>
        <w:sz w:val="18"/>
        <w:szCs w:val="18"/>
      </w:rPr>
      <w:t xml:space="preserve">    |    </w:t>
    </w:r>
    <w:r>
      <w:rPr>
        <w:rFonts w:ascii="Calibri" w:cs="Calibri" w:eastAsia="Calibri" w:hAnsi="Calibri"/>
        <w:color w:val="666666"/>
        <w:sz w:val="18"/>
        <w:szCs w:val="18"/>
      </w:rPr>
      <w:t xml:space="preserve">Law Firms Landing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B2A4E"/>
      <w:sz w:val="44"/>
      <w:szCs w:val="44"/>
    </w:rPr>
  </w:style>
  <w:style w:type="paragraph" w:styleId="Heading2">
    <w:name w:val="Heading 2"/>
    <w:basedOn w:val="Normal"/>
    <w:next w:val="Normal"/>
    <w:qFormat/>
    <w:pPr>
      <w:spacing w:after="160" w:before="360"/>
      <w:outlineLvl w:val="1"/>
    </w:pPr>
    <w:rPr>
      <w:rFonts w:ascii="Calibri" w:cs="Calibri" w:eastAsia="Calibri" w:hAnsi="Calibri"/>
      <w:b/>
      <w:bCs/>
      <w:color w:val="1B2A4E"/>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B2A4E"/>
      <w:sz w:val="26"/>
      <w:szCs w:val="26"/>
    </w:rPr>
  </w:style>
  <w:style w:type="paragraph" w:styleId="Heading4">
    <w:name w:val="Heading 4"/>
    <w:basedOn w:val="Normal"/>
    <w:next w:val="Normal"/>
    <w:qFormat/>
    <w:pPr>
      <w:spacing w:after="80" w:before="200"/>
      <w:outlineLvl w:val="3"/>
    </w:pPr>
    <w:rPr>
      <w:rFonts w:ascii="Calibri" w:cs="Calibri" w:eastAsia="Calibri" w:hAnsi="Calibri"/>
      <w:b/>
      <w:bCs/>
      <w:color w:val="1B2A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Marketing for Malaysian Law Firms — Landing Page Copy</dc:title>
  <dc:creator>Apex IT Solution</dc:creator>
  <dc:description>Landing page copy for apexsolutions.my, vertical page targeting Malaysian law firms</dc:description>
  <cp:lastModifiedBy>Un-named</cp:lastModifiedBy>
  <cp:revision>1</cp:revision>
  <dcterms:created xsi:type="dcterms:W3CDTF">2026-04-19T14:49:27.234Z</dcterms:created>
  <dcterms:modified xsi:type="dcterms:W3CDTF">2026-04-19T14:49:27.234Z</dcterms:modified>
</cp:coreProperties>
</file>

<file path=docProps/custom.xml><?xml version="1.0" encoding="utf-8"?>
<Properties xmlns="http://schemas.openxmlformats.org/officeDocument/2006/custom-properties" xmlns:vt="http://schemas.openxmlformats.org/officeDocument/2006/docPropsVTypes"/>
</file>