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SiteSee Real Estate Website Hierarchy</w:t>
      </w:r>
    </w:p>
    <w:p>
      <w:r>
        <w:t>Six public pages form the real estate website. Platform has its own page, and real estate pricing uses its own request process and protected result. Company information and legal pages remain on the corporate site.</w:t>
      </w:r>
    </w:p>
    <w:p>
      <w:pPr>
        <w:spacing w:before="0" w:after="0" w:line="240" w:lineRule="auto"/>
      </w:pPr>
      <w:commentRangeStart w:id="0"/>
      <w:r>
        <w:drawing>
          <wp:inline xmlns:a="http://schemas.openxmlformats.org/drawingml/2006/main" xmlns:pic="http://schemas.openxmlformats.org/drawingml/2006/picture">
            <wp:extent cx="6553200" cy="5207000"/>
            <wp:docPr id="4" name="Picture 4" descr="SiteSee Real Estate website hierarchy. Home; Platform; Services Provided; Our Work with Photography, Virtual Experiences and Video Examples when supplied; Contact with Project Inquiry and Preferred Communication radio buttons Call, Text, Email; Request Pricing Access with the five-field form, submission acknowledgment and protected Platform Subscriptions, Residential Media Rates, Commercial Media Rates and Customer Rate Sheet. Company Name is the only required field. See Form Specifications for all fields, opt-out and subject."/>
            <wp:cNvGraphicFramePr>
              <a:graphicFrameLocks noChangeAspect="1"/>
            </wp:cNvGraphicFramePr>
            <a:graphic>
              <a:graphicData uri="http://schemas.openxmlformats.org/drawingml/2006/picture">
                <pic:pic>
                  <pic:nvPicPr>
                    <pic:cNvPr id="0" name="hierarchy_updated.png"/>
                    <pic:cNvPicPr/>
                  </pic:nvPicPr>
                  <pic:blipFill>
                    <a:blip r:embed="rId14"/>
                    <a:stretch>
                      <a:fillRect/>
                    </a:stretch>
                  </pic:blipFill>
                  <pic:spPr>
                    <a:xfrm>
                      <a:off x="0" y="0"/>
                      <a:ext cx="6553200" cy="5207000"/>
                    </a:xfrm>
                    <a:prstGeom prst="rect"/>
                  </pic:spPr>
                </pic:pic>
              </a:graphicData>
            </a:graphic>
          </wp:inline>
        </w:drawing>
      </w:r>
      <w:commentRangeEnd w:id="0"/>
      <w:r>
        <w:rPr>
          <w:rStyle w:val="CommentReference"/>
        </w:rPr>
        <w:commentReference w:id="0"/>
      </w:r>
    </w:p>
    <w:p>
      <w:r>
        <w:br w:type="page"/>
      </w:r>
    </w:p>
    <w:p>
      <w:pPr>
        <w:pStyle w:val="Heading1"/>
      </w:pPr>
      <w:r>
        <w:t>Page Section Hierarchy</w:t>
      </w:r>
    </w:p>
    <w:p>
      <w:r>
        <w:t>These branches are sections within Home, Platform and Services Provided. The corporate hero structure and shared real estate header and footer apply throughout.</w:t>
      </w:r>
    </w:p>
    <w:p>
      <w:pPr>
        <w:spacing w:before="0" w:after="0" w:line="240" w:lineRule="auto"/>
      </w:pPr>
      <w:r>
        <w:drawing>
          <wp:inline xmlns:a="http://schemas.openxmlformats.org/drawingml/2006/main" xmlns:pic="http://schemas.openxmlformats.org/drawingml/2006/picture">
            <wp:extent cx="6553200" cy="7493000"/>
            <wp:docPr id="2" name="Picture 2" title="Page Section Hierarchy" descr="Sections Within Each Page&#10;  Home&#10;    Hero And Real Estate Introduction&#10;    Featured Photography And Virtual Experience&#10;    Platform And Services Introduction&#10;    Why SiteSee&#10;    Calls To Action&#10;  Platform&#10;    Hero And Platform Introduction&#10;    Connected Property Presentation&#10;    Floor Plans And Spatial Context&#10;    Published Statistics&#10;    AI Decluttering And Redesign&#10;    Online Meetings And Guided Review&#10;    Call To Action For Our Work&#10;    Sharing Inquiries And Engagement&#10;    Why SiteSee&#10;    Subscription Overview And Closing Calls To Action&#10;  Services Provided&#10;    Hero And Introduction&#10;    Link To The Platform Page&#10;    Property Photography&#10;    Virtual Experiences&#10;    Drone And Aerial Photography&#10;    Property Video&#10;    Floor Plans&#10;    Property Websites&#10;    Virtual Twilight Photography&#10;    Media Packages And Custom Coverage&#10;    Why SiteSee&#10;    Calls To Action"/>
            <wp:cNvGraphicFramePr>
              <a:graphicFrameLocks noChangeAspect="1"/>
            </wp:cNvGraphicFramePr>
            <a:graphic>
              <a:graphicData uri="http://schemas.openxmlformats.org/drawingml/2006/picture">
                <pic:pic>
                  <pic:nvPicPr>
                    <pic:cNvPr id="0" name="page-sections.png"/>
                    <pic:cNvPicPr/>
                  </pic:nvPicPr>
                  <pic:blipFill>
                    <a:blip r:embed="rId12"/>
                    <a:stretch>
                      <a:fillRect/>
                    </a:stretch>
                  </pic:blipFill>
                  <pic:spPr>
                    <a:xfrm>
                      <a:off x="0" y="0"/>
                      <a:ext cx="6553200" cy="7493000"/>
                    </a:xfrm>
                    <a:prstGeom prst="rect"/>
                  </pic:spPr>
                </pic:pic>
              </a:graphicData>
            </a:graphic>
          </wp:inline>
        </w:drawing>
      </w:r>
    </w:p>
    <w:p>
      <w:r>
        <w:br w:type="page"/>
      </w:r>
    </w:p>
    <w:p>
      <w:pPr>
        <w:pStyle w:val="Heading1"/>
      </w:pPr>
      <w:r>
        <w:t>Shared Footer Hierarchy</w:t>
      </w:r>
    </w:p>
    <w:p>
      <w:r>
        <w:t>The footer appears across the real estate website. Corporate and copyright links open in a new tab or window. Division navigation and service links remain within the real estate website.</w:t>
      </w:r>
    </w:p>
    <w:p>
      <w:pPr>
        <w:spacing w:before="0" w:after="0" w:line="240" w:lineRule="auto"/>
      </w:pPr>
      <w:r>
        <w:drawing>
          <wp:inline xmlns:a="http://schemas.openxmlformats.org/drawingml/2006/main" xmlns:pic="http://schemas.openxmlformats.org/drawingml/2006/picture">
            <wp:extent cx="6553200" cy="7391400"/>
            <wp:docPr id="3" name="Picture 3" title="Shared Footer Hierarchy" descr="Global Real Estate Footer&#10;  Real Estate Navigation&#10;    Home&#10;    Platform&#10;    Services Provided&#10;    Our Work&#10;    Contact&#10;    Request Pricing Access&#10;  Service Section Links&#10;    Photography&#10;    Virtual Experiences&#10;    Drone And Aerial&#10;    Property Video&#10;    Floor Plans&#10;    Property Websites&#10;    Virtual Twilight&#10;    Media Packages&#10;  SiteSee Corporate&#10;    Corporate Website&#10;    About SiteSee&#10;    Operating System&#10;    Resources&#10;  Copyright And Bottom Navigation&#10;    Copyright Notice&#10;    Privacy&#10;    Terms&#10;    Marks And Trademarks&#10;    Accessibility&#10;    Cookies&#10;    Sitemap"/>
            <wp:cNvGraphicFramePr>
              <a:graphicFrameLocks noChangeAspect="1"/>
            </wp:cNvGraphicFramePr>
            <a:graphic>
              <a:graphicData uri="http://schemas.openxmlformats.org/drawingml/2006/picture">
                <pic:pic>
                  <pic:nvPicPr>
                    <pic:cNvPr id="0" name="global-footer.png"/>
                    <pic:cNvPicPr/>
                  </pic:nvPicPr>
                  <pic:blipFill>
                    <a:blip r:embed="rId13"/>
                    <a:stretch>
                      <a:fillRect/>
                    </a:stretch>
                  </pic:blipFill>
                  <pic:spPr>
                    <a:xfrm>
                      <a:off x="0" y="0"/>
                      <a:ext cx="6553200" cy="7391400"/>
                    </a:xfrm>
                    <a:prstGeom prst="rect"/>
                  </pic:spPr>
                </pic:pic>
              </a:graphicData>
            </a:graphic>
          </wp:inline>
        </w:drawing>
      </w:r>
    </w:p>
    <w:p>
      <w:r>
        <w:br w:type="page"/>
      </w:r>
    </w:p>
    <w:p>
      <w:pPr>
        <w:pStyle w:val="Heading1"/>
      </w:pPr>
      <w:r>
        <w:t>Form Specifications</w:t>
      </w:r>
    </w:p>
    <w:p>
      <w:r>
        <w:t>The pricing request uses five contact fields, with Company Name as the only required field. The Contact form records the sender’s preferred communication method.</w:t>
      </w:r>
    </w:p>
    <w:p>
      <w:pPr>
        <w:pStyle w:val="Heading2"/>
      </w:pPr>
      <w:r>
        <w:t>Pricing Request</w:t>
      </w:r>
    </w:p>
    <w:tbl>
      <w:tblPr>
        <w:tblW w:type="auto" w:w="0"/>
        <w:tblLayout w:type="fixed"/>
        <w:tblLook w:firstColumn="1" w:firstRow="1" w:lastColumn="0" w:lastRow="0" w:noHBand="0" w:noVBand="1" w:val="04A0"/>
      </w:tblPr>
      <w:tblGrid>
        <w:gridCol w:w="864"/>
        <w:gridCol w:w="6696"/>
        <w:gridCol w:w="1944"/>
      </w:tblGrid>
      <w:tr>
        <w:trPr>
          <w:cantSplit/>
          <w:tblHeader/>
        </w:trPr>
        <w:tc>
          <w:tcPr>
            <w:tcW w:type="dxa" w:w="864"/>
            <w:vAlign w:val="center"/>
            <w:tcBorders>
              <w:top w:val="single" w:sz="4" w:color="D9D9D9"/>
              <w:left w:val="single" w:sz="4" w:color="D9D9D9"/>
              <w:bottom w:val="single" w:sz="4" w:color="D9D9D9"/>
              <w:right w:val="single" w:sz="4" w:color="D9D9D9"/>
            </w:tcBorders>
            <w:shd w:fill="0B0F14"/>
            <w:tcMar>
              <w:top w:w="95" w:type="dxa"/>
              <w:left w:w="95" w:type="dxa"/>
              <w:bottom w:w="95" w:type="dxa"/>
              <w:right w:w="95" w:type="dxa"/>
            </w:tcMar>
          </w:tcPr>
          <w:p>
            <w:pPr>
              <w:spacing w:after="0" w:line="264" w:lineRule="auto"/>
              <w:jc w:val="center"/>
            </w:pPr>
            <w:r>
              <w:rPr>
                <w:b/>
                <w:color w:val="FFFFFF"/>
                <w:sz w:val="21"/>
              </w:rPr>
              <w:t>Order</w:t>
            </w:r>
          </w:p>
        </w:tc>
        <w:tc>
          <w:tcPr>
            <w:tcW w:type="dxa" w:w="6696"/>
            <w:vAlign w:val="center"/>
            <w:tcBorders>
              <w:top w:val="single" w:sz="4" w:color="D9D9D9"/>
              <w:left w:val="single" w:sz="4" w:color="D9D9D9"/>
              <w:bottom w:val="single" w:sz="4" w:color="D9D9D9"/>
              <w:right w:val="single" w:sz="4" w:color="D9D9D9"/>
            </w:tcBorders>
            <w:shd w:fill="0B0F14"/>
            <w:tcMar>
              <w:top w:w="95" w:type="dxa"/>
              <w:left w:w="95" w:type="dxa"/>
              <w:bottom w:w="95" w:type="dxa"/>
              <w:right w:w="95" w:type="dxa"/>
            </w:tcMar>
          </w:tcPr>
          <w:p>
            <w:pPr>
              <w:spacing w:after="0" w:line="264" w:lineRule="auto"/>
              <w:jc w:val="left"/>
            </w:pPr>
            <w:r>
              <w:rPr>
                <w:b/>
                <w:color w:val="FFFFFF"/>
                <w:sz w:val="21"/>
              </w:rPr>
              <w:t>Field</w:t>
            </w:r>
          </w:p>
        </w:tc>
        <w:tc>
          <w:tcPr>
            <w:tcW w:type="dxa" w:w="1944"/>
            <w:vAlign w:val="center"/>
            <w:tcBorders>
              <w:top w:val="single" w:sz="4" w:color="D9D9D9"/>
              <w:left w:val="single" w:sz="4" w:color="D9D9D9"/>
              <w:bottom w:val="single" w:sz="4" w:color="D9D9D9"/>
              <w:right w:val="single" w:sz="4" w:color="D9D9D9"/>
            </w:tcBorders>
            <w:shd w:fill="0B0F14"/>
            <w:tcMar>
              <w:top w:w="95" w:type="dxa"/>
              <w:left w:w="95" w:type="dxa"/>
              <w:bottom w:w="95" w:type="dxa"/>
              <w:right w:w="95" w:type="dxa"/>
            </w:tcMar>
          </w:tcPr>
          <w:p>
            <w:pPr>
              <w:spacing w:after="0" w:line="264" w:lineRule="auto"/>
              <w:jc w:val="center"/>
            </w:pPr>
            <w:r>
              <w:rPr>
                <w:b/>
                <w:color w:val="FFFFFF"/>
                <w:sz w:val="21"/>
              </w:rPr>
              <w:t>Required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val="0"/>
                <w:color w:val="0B0F14"/>
                <w:sz w:val="21"/>
              </w:rPr>
              <w:t>1</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left"/>
            </w:pPr>
            <w:r>
              <w:rPr>
                <w:b w:val="0"/>
                <w:color w:val="0B0F14"/>
                <w:sz w:val="21"/>
              </w:rPr>
              <w:t>First Name</w:t>
            </w:r>
          </w:p>
        </w:tc>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val="0"/>
                <w:color w:val="0B0F14"/>
                <w:sz w:val="21"/>
              </w:rPr>
              <w:t>No</w:t>
            </w:r>
          </w:p>
        </w:tc>
      </w:tr>
      <w:tr>
        <w:trPr>
          <w:cantSplit/>
        </w:trPr>
        <w:tc>
          <w:tcPr>
            <w:tcW w:type="dxa" w:w="864"/>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center"/>
            </w:pPr>
            <w:r>
              <w:rPr>
                <w:b w:val="0"/>
                <w:color w:val="0B0F14"/>
                <w:sz w:val="21"/>
              </w:rPr>
              <w:t>2</w:t>
            </w:r>
          </w:p>
        </w:tc>
        <w:tc>
          <w:tcPr>
            <w:tcW w:type="dxa" w:w="6696"/>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left"/>
            </w:pPr>
            <w:r>
              <w:rPr>
                <w:b w:val="0"/>
                <w:color w:val="0B0F14"/>
                <w:sz w:val="21"/>
              </w:rPr>
              <w:t>Last Name</w:t>
            </w:r>
          </w:p>
        </w:tc>
        <w:tc>
          <w:tcPr>
            <w:tcW w:type="dxa" w:w="1944"/>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center"/>
            </w:pPr>
            <w:r>
              <w:rPr>
                <w:b w:val="0"/>
                <w:color w:val="0B0F14"/>
                <w:sz w:val="21"/>
              </w:rPr>
              <w:t>No</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val="0"/>
                <w:color w:val="0B0F14"/>
                <w:sz w:val="21"/>
              </w:rPr>
              <w:t>3</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left"/>
            </w:pPr>
            <w:r>
              <w:rPr>
                <w:b w:val="0"/>
                <w:color w:val="0B0F14"/>
                <w:sz w:val="21"/>
              </w:rPr>
              <w:t>Company Name</w:t>
            </w:r>
          </w:p>
        </w:tc>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color w:val="0B0F14"/>
                <w:sz w:val="21"/>
              </w:rPr>
              <w:t>Yes</w:t>
            </w:r>
          </w:p>
        </w:tc>
      </w:tr>
      <w:tr>
        <w:trPr>
          <w:cantSplit/>
        </w:trPr>
        <w:tc>
          <w:tcPr>
            <w:tcW w:type="dxa" w:w="864"/>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center"/>
            </w:pPr>
            <w:r>
              <w:rPr>
                <w:b w:val="0"/>
                <w:color w:val="0B0F14"/>
                <w:sz w:val="21"/>
              </w:rPr>
              <w:t>4</w:t>
            </w:r>
          </w:p>
        </w:tc>
        <w:tc>
          <w:tcPr>
            <w:tcW w:type="dxa" w:w="6696"/>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left"/>
            </w:pPr>
            <w:r>
              <w:rPr>
                <w:b w:val="0"/>
                <w:color w:val="0B0F14"/>
                <w:sz w:val="21"/>
              </w:rPr>
              <w:t>Email Address</w:t>
            </w:r>
          </w:p>
        </w:tc>
        <w:tc>
          <w:tcPr>
            <w:tcW w:type="dxa" w:w="1944"/>
            <w:vAlign w:val="center"/>
            <w:tcBorders>
              <w:top w:val="single" w:sz="4" w:color="D9D9D9"/>
              <w:left w:val="single" w:sz="4" w:color="D9D9D9"/>
              <w:bottom w:val="single" w:sz="4" w:color="D9D9D9"/>
              <w:right w:val="single" w:sz="4" w:color="D9D9D9"/>
            </w:tcBorders>
            <w:shd w:fill="F7F7F7"/>
            <w:tcMar>
              <w:top w:w="95" w:type="dxa"/>
              <w:left w:w="95" w:type="dxa"/>
              <w:bottom w:w="95" w:type="dxa"/>
              <w:right w:w="95" w:type="dxa"/>
            </w:tcMar>
          </w:tcPr>
          <w:p>
            <w:pPr>
              <w:spacing w:after="0" w:line="264" w:lineRule="auto"/>
              <w:jc w:val="center"/>
            </w:pPr>
            <w:r>
              <w:rPr>
                <w:b w:val="0"/>
                <w:color w:val="0B0F14"/>
                <w:sz w:val="21"/>
              </w:rPr>
              <w:t>No</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val="0"/>
                <w:color w:val="0B0F14"/>
                <w:sz w:val="21"/>
              </w:rPr>
              <w:t>5</w:t>
            </w:r>
          </w:p>
        </w:tc>
        <w:tc>
          <w:tcPr>
            <w:tcW w:type="dxa" w:w="669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left"/>
            </w:pPr>
            <w:r>
              <w:rPr>
                <w:b w:val="0"/>
                <w:color w:val="0B0F14"/>
                <w:sz w:val="21"/>
              </w:rPr>
              <w:t>Phone Number</w:t>
            </w:r>
          </w:p>
        </w:tc>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0" w:line="264" w:lineRule="auto"/>
              <w:jc w:val="center"/>
            </w:pPr>
            <w:r>
              <w:rPr>
                <w:b w:val="0"/>
                <w:color w:val="0B0F14"/>
                <w:sz w:val="21"/>
              </w:rPr>
              <w:t>No</w:t>
            </w:r>
          </w:p>
        </w:tc>
      </w:tr>
    </w:tbl>
    <w:p>
      <w:pPr>
        <w:spacing w:before="200"/>
      </w:pPr>
      <w:r>
        <w:rPr>
          <w:b/>
        </w:rPr>
        <w:t xml:space="preserve">Mailing-list opt-out: </w:t>
      </w:r>
      <w:r>
        <w:t>Please exclude me from all mailing lists.</w:t>
      </w:r>
    </w:p>
    <w:p>
      <w:r>
        <w:t>Use a separate optional checkbox, initially unchecked. Save the selection with the request. A checked box excludes the sender from all mailing lists while allowing a response to this pricing request.</w:t>
      </w:r>
    </w:p>
    <w:p>
      <w:r>
        <w:rPr>
          <w:b/>
        </w:rPr>
        <w:t xml:space="preserve">Fixed subject: </w:t>
      </w:r>
      <w:r>
        <w:t>Real Estate Div. - Pricing request.</w:t>
      </w:r>
    </w:p>
    <w:p>
      <w:r>
        <w:t>Accept a Company Name-only submission with the other four fields blank. Show an on-page acknowledgment. The subject is set automatically; there is no additional subject or pricing-category field.</w:t>
      </w:r>
    </w:p>
    <w:p>
      <w:pPr>
        <w:pStyle w:val="Heading2"/>
      </w:pPr>
      <w:r>
        <w:t>Contact Form</w:t>
      </w:r>
    </w:p>
    <w:p>
      <w:r>
        <w:rPr>
          <w:b/>
        </w:rPr>
        <w:t xml:space="preserve">Preferred Communication: </w:t>
      </w:r>
      <w:r>
        <w:t>Call · Text · Email</w:t>
      </w:r>
    </w:p>
    <w:p>
      <w:r>
        <w:t>Use one optional radio-button group with no default selection. Allow one choice at a time and save the selected value with the inquiry.</w:t>
      </w:r>
    </w:p>
    <w:p>
      <w:r>
        <w:t>Remove Discovery Call and its scheduling prompt from the Contact form. Contact-directed actions use “Discuss Your Property.”</w:t>
      </w:r>
    </w:p>
    <w:sectPr w:rsidR="00FC693F" w:rsidRPr="0006063C" w:rsidSect="00034616">
      <w:headerReference w:type="default" r:id="rId9"/>
      <w:footerReference w:type="default" r:id="rId10"/>
      <w:pgSz w:w="12240" w:h="15840"/>
      <w:pgMar w:top="1238" w:right="936" w:bottom="792" w:left="936" w:header="331" w:footer="346"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iteSee" w:initials="SS" w:date="2026-09-13T21:24:05Z">
    <w:p>
      <w:pPr>
        <w:pStyle w:val="CommentText"/>
      </w:pPr>
      <w:r>
        <w:rPr>
          <w:rStyle w:val="CommentReference"/>
        </w:rPr>
        <w:annotationRef/>
      </w:r>
      <w:r>
        <w:t>2026 09 13: Contact now uses Preferred Communication radio buttons. The pricing request has five fields with only Company Name required; the earlier schedule selector is removed. Full form specifications are recorded on the final page.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96" w:val="right"/>
      </w:tabs>
      <w:spacing w:after="0"/>
    </w:pPr>
    <w:r>
      <w:rPr>
        <w:rFonts w:ascii="Inter" w:hAnsi="Inter"/>
        <w:color w:val="6B6F76"/>
        <w:sz w:val="16"/>
      </w:rPr>
      <w:t>2026 09 13</w:t>
      <w:tab/>
      <w:t xml:space="preserve">Site hierarchy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96" w:val="right"/>
      </w:tabs>
      <w:spacing w:after="0"/>
    </w:pPr>
    <w:r>
      <w:drawing>
        <wp:inline xmlns:a="http://schemas.openxmlformats.org/drawingml/2006/main" xmlns:pic="http://schemas.openxmlformats.org/drawingml/2006/picture">
          <wp:extent cx="1261872" cy="420624"/>
          <wp:docPr id="1" name="Picture 1"/>
          <wp:cNvGraphicFramePr>
            <a:graphicFrameLocks noChangeAspect="1"/>
          </wp:cNvGraphicFramePr>
          <a:graphic>
            <a:graphicData uri="http://schemas.openxmlformats.org/drawingml/2006/picture">
              <pic:pic>
                <pic:nvPicPr>
                  <pic:cNvPr id="0" name="brand-logo.png"/>
                  <pic:cNvPicPr/>
                </pic:nvPicPr>
                <pic:blipFill>
                  <a:blip r:embed="rId1"/>
                  <a:stretch>
                    <a:fillRect/>
                  </a:stretch>
                </pic:blipFill>
                <pic:spPr>
                  <a:xfrm>
                    <a:off x="0" y="0"/>
                    <a:ext cx="1261872" cy="420624"/>
                  </a:xfrm>
                  <a:prstGeom prst="rect"/>
                </pic:spPr>
              </pic:pic>
            </a:graphicData>
          </a:graphic>
        </wp:inline>
      </w:drawing>
    </w:r>
    <w:r>
      <w:rPr>
        <w:rFonts w:ascii="Poppins" w:hAnsi="Poppins"/>
        <w:b/>
        <w:color w:val="000000"/>
        <w:sz w:val="18"/>
      </w:rPr>
      <w:tab/>
      <w:t>REAL ESTATE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eastAsia="Inter" w:cs="Inter"/>
      <w:b w:val="0"/>
      <w:color w:val="000000"/>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Poppins" w:hAnsi="Poppins" w:eastAsia="Poppins" w:cs="Poppi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Poppins" w:hAnsi="Poppins" w:eastAsia="Poppins" w:cs="Poppi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Poppins" w:hAnsi="Poppins" w:eastAsia="Poppins" w:cs="Poppi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Poppins" w:hAnsi="Poppins" w:eastAsia="Poppins" w:cs="Poppi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SiteSee Real Estate Website Hierarchy</dc:title>
  <dc:subject>Public navigation page sections pricing access and shared footer</dc:subject>
  <dc:creator>SiteSee</dc:creator>
  <cp:keywords>SiteSee real estate website hierarchy sitemap</cp:keywords>
  <dc:description>generated by python-docx</dc:description>
  <cp:lastModifiedBy/>
  <cp:revision>1</cp:revision>
  <dcterms:created xsi:type="dcterms:W3CDTF">2013-12-23T23:15:00Z</dcterms:created>
  <dcterms:modified xsi:type="dcterms:W3CDTF">2026-09-13T21:24:05Z</dcterms:modified>
  <cp:category/>
</cp:coreProperties>
</file>