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D2348" w14:textId="4381EB06" w:rsidR="001F6F9B" w:rsidRPr="00C40CAF" w:rsidRDefault="00933D0B" w:rsidP="00933D0B">
      <w:pPr>
        <w:jc w:val="center"/>
        <w:rPr>
          <w:rFonts w:cs="Times New Roman"/>
          <w:b/>
          <w:bCs/>
        </w:rPr>
      </w:pPr>
      <w:r w:rsidRPr="00C40CAF">
        <w:rPr>
          <w:rFonts w:cs="Times New Roman"/>
          <w:b/>
          <w:bCs/>
        </w:rPr>
        <w:t>NOTICE OF FUNDING OPPORTUNITY</w:t>
      </w:r>
      <w:r w:rsidR="00921174">
        <w:rPr>
          <w:rFonts w:cs="Times New Roman"/>
          <w:b/>
          <w:bCs/>
        </w:rPr>
        <w:t xml:space="preserve"> AND </w:t>
      </w:r>
      <w:r w:rsidR="00A9366C">
        <w:rPr>
          <w:rFonts w:cs="Times New Roman"/>
          <w:b/>
          <w:bCs/>
        </w:rPr>
        <w:t xml:space="preserve">FUNDING </w:t>
      </w:r>
      <w:r w:rsidR="00921174">
        <w:rPr>
          <w:rFonts w:cs="Times New Roman"/>
          <w:b/>
          <w:bCs/>
        </w:rPr>
        <w:t>MANUAL</w:t>
      </w:r>
    </w:p>
    <w:p w14:paraId="6FC6E9B8" w14:textId="5C060564" w:rsidR="00933D0B" w:rsidRDefault="00933D0B" w:rsidP="00933D0B">
      <w:pPr>
        <w:jc w:val="center"/>
        <w:rPr>
          <w:rFonts w:cs="Times New Roman"/>
          <w:b/>
          <w:bCs/>
        </w:rPr>
      </w:pPr>
      <w:r w:rsidRPr="00C40CAF">
        <w:rPr>
          <w:rFonts w:cs="Times New Roman"/>
          <w:b/>
          <w:bCs/>
        </w:rPr>
        <w:t>RESILIENT VIRGINIA REVOLVING FUND</w:t>
      </w:r>
    </w:p>
    <w:p w14:paraId="1C43A998" w14:textId="3CE59BE2" w:rsidR="00921174" w:rsidRPr="00C40CAF" w:rsidRDefault="00921174" w:rsidP="00933D0B">
      <w:pPr>
        <w:jc w:val="center"/>
        <w:rPr>
          <w:rFonts w:cs="Times New Roman"/>
          <w:b/>
          <w:bCs/>
        </w:rPr>
      </w:pPr>
      <w:r>
        <w:rPr>
          <w:rFonts w:cs="Times New Roman"/>
          <w:b/>
          <w:bCs/>
        </w:rPr>
        <w:t>SOUTHWEST VIRGINIA RESILIENT RECOVERY AND REBUILDING</w:t>
      </w:r>
    </w:p>
    <w:p w14:paraId="649E3B75" w14:textId="153DC8C4" w:rsidR="00933D0B" w:rsidRPr="00C40CAF" w:rsidRDefault="00933D0B" w:rsidP="00933D0B">
      <w:pPr>
        <w:rPr>
          <w:rFonts w:cs="Times New Roman"/>
          <w:b/>
          <w:bCs/>
          <w:u w:val="single"/>
        </w:rPr>
      </w:pPr>
      <w:r w:rsidRPr="00C40CAF">
        <w:rPr>
          <w:rFonts w:cs="Times New Roman"/>
          <w:b/>
          <w:bCs/>
          <w:u w:val="single"/>
        </w:rPr>
        <w:t>Overview</w:t>
      </w:r>
    </w:p>
    <w:p w14:paraId="5A53E105" w14:textId="73DC7D28" w:rsidR="00933D0B" w:rsidRPr="00C40CAF" w:rsidRDefault="00933D0B" w:rsidP="00933D0B">
      <w:pPr>
        <w:rPr>
          <w:rFonts w:cs="Times New Roman"/>
        </w:rPr>
      </w:pPr>
      <w:r w:rsidRPr="00C40CAF">
        <w:rPr>
          <w:rFonts w:cs="Times New Roman"/>
        </w:rPr>
        <w:t xml:space="preserve">In accordance with </w:t>
      </w:r>
      <w:r w:rsidR="00A1481F" w:rsidRPr="00C40CAF">
        <w:rPr>
          <w:rFonts w:cs="Times New Roman"/>
        </w:rPr>
        <w:t>§ 10.1-603.29 of the Code of Virginia</w:t>
      </w:r>
      <w:r w:rsidRPr="00C40CAF">
        <w:rPr>
          <w:rFonts w:cs="Times New Roman"/>
        </w:rPr>
        <w:t xml:space="preserve">, the Department of Conservation and Recreation (the </w:t>
      </w:r>
      <w:r w:rsidR="00CD6F94" w:rsidRPr="00C40CAF">
        <w:rPr>
          <w:rFonts w:cs="Times New Roman"/>
        </w:rPr>
        <w:t>“</w:t>
      </w:r>
      <w:r w:rsidRPr="00C40CAF">
        <w:rPr>
          <w:rFonts w:cs="Times New Roman"/>
        </w:rPr>
        <w:t xml:space="preserve">Department”) </w:t>
      </w:r>
      <w:r w:rsidR="00CD6F94" w:rsidRPr="00C40CAF">
        <w:rPr>
          <w:rFonts w:cs="Times New Roman"/>
        </w:rPr>
        <w:t xml:space="preserve">and the Virginia Resources Authority (the “Authority”) </w:t>
      </w:r>
      <w:r w:rsidRPr="00C40CAF">
        <w:rPr>
          <w:rFonts w:cs="Times New Roman"/>
        </w:rPr>
        <w:t xml:space="preserve">is providing this Notice of Funding Opportunity (“Notice”) </w:t>
      </w:r>
      <w:r w:rsidR="00921174">
        <w:rPr>
          <w:rFonts w:cs="Times New Roman"/>
        </w:rPr>
        <w:t xml:space="preserve">and </w:t>
      </w:r>
      <w:r w:rsidR="00A9366C">
        <w:rPr>
          <w:rFonts w:cs="Times New Roman"/>
        </w:rPr>
        <w:t xml:space="preserve">Funding </w:t>
      </w:r>
      <w:r w:rsidR="00921174">
        <w:rPr>
          <w:rFonts w:cs="Times New Roman"/>
        </w:rPr>
        <w:t xml:space="preserve">Manual </w:t>
      </w:r>
      <w:r w:rsidRPr="00C40CAF">
        <w:rPr>
          <w:rFonts w:cs="Times New Roman"/>
        </w:rPr>
        <w:t xml:space="preserve">for the Resilient Virginia Revolving Fund (Fund) to solicit public feedback and to provide general </w:t>
      </w:r>
      <w:r w:rsidRPr="00C40CAF">
        <w:rPr>
          <w:rFonts w:eastAsia="Calibri" w:cs="Times New Roman"/>
        </w:rPr>
        <w:t>guidance regarding the policies, criteria, conditions, and procedures for determining project eligibility and awarding grants and loans from the Fund.</w:t>
      </w:r>
      <w:r w:rsidR="00CD6F94" w:rsidRPr="00C40CAF">
        <w:rPr>
          <w:rFonts w:eastAsia="Calibri" w:cs="Times New Roman"/>
        </w:rPr>
        <w:t xml:space="preserve">  The Department anticipates that it will provide additional and/or revised guidance at the opening of the funding round.</w:t>
      </w:r>
    </w:p>
    <w:p w14:paraId="5EEC5E26" w14:textId="114414E4" w:rsidR="00933D0B" w:rsidRPr="00C40CAF" w:rsidRDefault="00933D0B" w:rsidP="00933D0B">
      <w:pPr>
        <w:spacing w:after="240"/>
        <w:jc w:val="both"/>
        <w:rPr>
          <w:rFonts w:eastAsia="Calibri" w:cs="Times New Roman"/>
        </w:rPr>
      </w:pPr>
      <w:r w:rsidRPr="00C40CAF">
        <w:rPr>
          <w:rFonts w:eastAsia="Calibri" w:cs="Times New Roman"/>
        </w:rPr>
        <w:t>The Fund was established in 2022 by the General Assembly of Virginia: §§ 62.1-199 and 62.1-203 of the Code of Virginia were amended and reenacted and Chapter 6 of Title 10.1 10.1-603.28 through 10.1-603.40 of the Code of Virginia was amended.</w:t>
      </w:r>
    </w:p>
    <w:p w14:paraId="2CE4AFC6" w14:textId="3AEB8AA0" w:rsidR="00933D0B" w:rsidRPr="00C40CAF" w:rsidRDefault="36C88B31" w:rsidP="00933D0B">
      <w:pPr>
        <w:spacing w:after="240"/>
        <w:jc w:val="both"/>
        <w:rPr>
          <w:rFonts w:eastAsia="Calibri" w:cs="Times New Roman"/>
        </w:rPr>
      </w:pPr>
      <w:r w:rsidRPr="405AD289">
        <w:rPr>
          <w:rFonts w:eastAsia="Calibri" w:cs="Times New Roman"/>
        </w:rPr>
        <w:t xml:space="preserve">Per </w:t>
      </w:r>
      <w:r w:rsidR="7378A436" w:rsidRPr="405AD289">
        <w:rPr>
          <w:rFonts w:eastAsia="Calibri" w:cs="Times New Roman"/>
        </w:rPr>
        <w:t>the Code of Virginia,</w:t>
      </w:r>
      <w:r w:rsidR="7378A436" w:rsidRPr="405AD289">
        <w:rPr>
          <w:rFonts w:ascii="Aptos" w:eastAsia="Aptos" w:hAnsi="Aptos" w:cs="Aptos"/>
        </w:rPr>
        <w:t xml:space="preserve"> </w:t>
      </w:r>
      <w:r w:rsidR="44910007" w:rsidRPr="405AD289">
        <w:rPr>
          <w:rFonts w:eastAsia="Calibri" w:cs="Times New Roman"/>
        </w:rPr>
        <w:t>t</w:t>
      </w:r>
      <w:r w:rsidR="00933D0B" w:rsidRPr="405AD289">
        <w:rPr>
          <w:rFonts w:eastAsia="Calibri" w:cs="Times New Roman"/>
        </w:rPr>
        <w:t xml:space="preserve">he </w:t>
      </w:r>
      <w:r w:rsidR="004A409C" w:rsidRPr="405AD289">
        <w:rPr>
          <w:rFonts w:eastAsia="Calibri" w:cs="Times New Roman"/>
        </w:rPr>
        <w:t>Fund</w:t>
      </w:r>
      <w:r w:rsidR="00933D0B" w:rsidRPr="405AD289">
        <w:rPr>
          <w:rFonts w:eastAsia="Calibri" w:cs="Times New Roman"/>
        </w:rPr>
        <w:t xml:space="preserve"> is authorized to provide </w:t>
      </w:r>
      <w:r w:rsidR="004A409C" w:rsidRPr="405AD289">
        <w:rPr>
          <w:rFonts w:eastAsia="Calibri" w:cs="Times New Roman"/>
        </w:rPr>
        <w:t>grants and loans to local governments</w:t>
      </w:r>
      <w:r w:rsidR="00941C49">
        <w:rPr>
          <w:rStyle w:val="FootnoteReference"/>
          <w:rFonts w:eastAsia="Calibri" w:cs="Times New Roman"/>
        </w:rPr>
        <w:footnoteReference w:id="2"/>
      </w:r>
      <w:r w:rsidR="00933D0B" w:rsidRPr="405AD289">
        <w:rPr>
          <w:rFonts w:eastAsia="Calibri" w:cs="Times New Roman"/>
        </w:rPr>
        <w:t xml:space="preserve"> for the following</w:t>
      </w:r>
      <w:r w:rsidR="773FB0B2" w:rsidRPr="405AD289">
        <w:rPr>
          <w:rFonts w:eastAsia="Calibri" w:cs="Times New Roman"/>
        </w:rPr>
        <w:t xml:space="preserve"> flood resilience activities</w:t>
      </w:r>
      <w:r w:rsidR="00933D0B" w:rsidRPr="405AD289">
        <w:rPr>
          <w:rFonts w:eastAsia="Calibri" w:cs="Times New Roman"/>
        </w:rPr>
        <w:t>:</w:t>
      </w:r>
    </w:p>
    <w:p w14:paraId="5C37FBD8" w14:textId="57B2719A" w:rsidR="00933D0B" w:rsidRPr="00C40CAF" w:rsidRDefault="00933D0B" w:rsidP="00933D0B">
      <w:pPr>
        <w:spacing w:after="240"/>
        <w:jc w:val="both"/>
        <w:rPr>
          <w:rFonts w:eastAsia="Calibri" w:cs="Times New Roman"/>
        </w:rPr>
      </w:pPr>
      <w:r w:rsidRPr="167EFC7C">
        <w:rPr>
          <w:rFonts w:eastAsia="Calibri" w:cs="Times New Roman"/>
        </w:rPr>
        <w:t xml:space="preserve">(i) home upgrades for resilience purposes, home buyouts and demolition necessary for the construction of mitigation or resilience projects, </w:t>
      </w:r>
      <w:r w:rsidRPr="5E4A7C41">
        <w:rPr>
          <w:rFonts w:eastAsia="Calibri" w:cs="Times New Roman"/>
        </w:rPr>
        <w:t xml:space="preserve">relocations, and buyout assistance for homes, all including multifamily </w:t>
      </w:r>
      <w:proofErr w:type="gramStart"/>
      <w:r w:rsidRPr="5E4A7C41">
        <w:rPr>
          <w:rFonts w:eastAsia="Calibri" w:cs="Times New Roman"/>
        </w:rPr>
        <w:t>units;</w:t>
      </w:r>
      <w:proofErr w:type="gramEnd"/>
      <w:r w:rsidRPr="5E4A7C41">
        <w:rPr>
          <w:rFonts w:eastAsia="Calibri" w:cs="Times New Roman"/>
        </w:rPr>
        <w:t xml:space="preserve"> </w:t>
      </w:r>
    </w:p>
    <w:p w14:paraId="6AC58128" w14:textId="3C60CCD3" w:rsidR="00933D0B" w:rsidRPr="00C40CAF" w:rsidRDefault="00933D0B" w:rsidP="00933D0B">
      <w:pPr>
        <w:spacing w:after="240"/>
        <w:jc w:val="both"/>
        <w:rPr>
          <w:rFonts w:eastAsia="Calibri" w:cs="Times New Roman"/>
        </w:rPr>
      </w:pPr>
      <w:r w:rsidRPr="5E4A7C41">
        <w:rPr>
          <w:rFonts w:eastAsia="Calibri" w:cs="Times New Roman"/>
        </w:rPr>
        <w:t xml:space="preserve">(ii) gap funding related to buyouts </w:t>
      </w:r>
      <w:proofErr w:type="gramStart"/>
      <w:r w:rsidRPr="5E4A7C41">
        <w:rPr>
          <w:rFonts w:eastAsia="Calibri" w:cs="Times New Roman"/>
        </w:rPr>
        <w:t>in order to</w:t>
      </w:r>
      <w:proofErr w:type="gramEnd"/>
      <w:r w:rsidRPr="5E4A7C41">
        <w:rPr>
          <w:rFonts w:eastAsia="Calibri" w:cs="Times New Roman"/>
        </w:rPr>
        <w:t xml:space="preserve"> move residents out of floodplain hazard areas and restore or enhance the natural flood mitigation capacity of functioning </w:t>
      </w:r>
      <w:proofErr w:type="gramStart"/>
      <w:r w:rsidRPr="5E4A7C41">
        <w:rPr>
          <w:rFonts w:eastAsia="Calibri" w:cs="Times New Roman"/>
        </w:rPr>
        <w:t>floodplains;</w:t>
      </w:r>
      <w:proofErr w:type="gramEnd"/>
      <w:r w:rsidRPr="5E4A7C41">
        <w:rPr>
          <w:rFonts w:eastAsia="Calibri" w:cs="Times New Roman"/>
        </w:rPr>
        <w:t xml:space="preserve"> </w:t>
      </w:r>
    </w:p>
    <w:p w14:paraId="35F8C6C1" w14:textId="689E8F52" w:rsidR="00933D0B" w:rsidRPr="00C40CAF" w:rsidRDefault="00933D0B" w:rsidP="00933D0B">
      <w:pPr>
        <w:spacing w:after="240"/>
        <w:jc w:val="both"/>
        <w:rPr>
          <w:rFonts w:eastAsia="Calibri" w:cs="Times New Roman"/>
        </w:rPr>
      </w:pPr>
      <w:r w:rsidRPr="5E4A7C41">
        <w:rPr>
          <w:rFonts w:eastAsia="Calibri" w:cs="Times New Roman"/>
        </w:rPr>
        <w:t xml:space="preserve">(iii) assistance to low-income and moderate-income homeowners to help lower flood risk through structural and nonstructural mitigation projects, or other </w:t>
      </w:r>
      <w:proofErr w:type="gramStart"/>
      <w:r w:rsidRPr="5E4A7C41">
        <w:rPr>
          <w:rFonts w:eastAsia="Calibri" w:cs="Times New Roman"/>
        </w:rPr>
        <w:t>means;</w:t>
      </w:r>
      <w:proofErr w:type="gramEnd"/>
      <w:r w:rsidRPr="5E4A7C41">
        <w:rPr>
          <w:rFonts w:eastAsia="Calibri" w:cs="Times New Roman"/>
        </w:rPr>
        <w:t xml:space="preserve"> </w:t>
      </w:r>
    </w:p>
    <w:p w14:paraId="23EDB142" w14:textId="25ED205F" w:rsidR="00933D0B" w:rsidRPr="00C40CAF" w:rsidRDefault="00933D0B" w:rsidP="00933D0B">
      <w:pPr>
        <w:spacing w:after="240"/>
        <w:jc w:val="both"/>
        <w:rPr>
          <w:rFonts w:eastAsia="Calibri" w:cs="Times New Roman"/>
        </w:rPr>
      </w:pPr>
      <w:r w:rsidRPr="5E4A7C41">
        <w:rPr>
          <w:rFonts w:eastAsia="Calibri" w:cs="Times New Roman"/>
        </w:rPr>
        <w:t xml:space="preserve">(iv) hazard mitigation and infrastructure improvement projects for resilience </w:t>
      </w:r>
      <w:proofErr w:type="gramStart"/>
      <w:r w:rsidRPr="5E4A7C41">
        <w:rPr>
          <w:rFonts w:eastAsia="Calibri" w:cs="Times New Roman"/>
        </w:rPr>
        <w:t>purposes;</w:t>
      </w:r>
      <w:proofErr w:type="gramEnd"/>
    </w:p>
    <w:p w14:paraId="70B5EDF7" w14:textId="2CF02F1B" w:rsidR="00933D0B" w:rsidRPr="00C40CAF" w:rsidRDefault="00933D0B" w:rsidP="00933D0B">
      <w:pPr>
        <w:spacing w:after="240"/>
        <w:jc w:val="both"/>
        <w:rPr>
          <w:rFonts w:eastAsia="Calibri" w:cs="Times New Roman"/>
        </w:rPr>
      </w:pPr>
      <w:r w:rsidRPr="5A5114A6">
        <w:rPr>
          <w:rFonts w:eastAsia="Calibri" w:cs="Times New Roman"/>
        </w:rPr>
        <w:t>(v) projects identified in the Virginia Flood Protection Master Plan or the Virginia Coastal Resilience Master Plan; and</w:t>
      </w:r>
    </w:p>
    <w:p w14:paraId="0E771764" w14:textId="154BED1D" w:rsidR="00933D0B" w:rsidRPr="00C40CAF" w:rsidRDefault="00933D0B" w:rsidP="00933D0B">
      <w:pPr>
        <w:spacing w:after="240"/>
        <w:jc w:val="both"/>
        <w:rPr>
          <w:rFonts w:eastAsia="Calibri" w:cs="Times New Roman"/>
        </w:rPr>
      </w:pPr>
      <w:r w:rsidRPr="5A5114A6">
        <w:rPr>
          <w:rFonts w:eastAsia="Calibri" w:cs="Times New Roman"/>
        </w:rPr>
        <w:lastRenderedPageBreak/>
        <w:t>(vi) to a local government that has developed a funding program to provide low-interest loans or grants to any persons of the Commonwealth eligible for projects for resilience purposes.</w:t>
      </w:r>
    </w:p>
    <w:p w14:paraId="5B6F65E3" w14:textId="1F782CD2" w:rsidR="00CD6F94" w:rsidRDefault="00CD6F94" w:rsidP="00933D0B">
      <w:pPr>
        <w:spacing w:after="240"/>
        <w:jc w:val="both"/>
        <w:rPr>
          <w:rFonts w:eastAsia="Calibri" w:cs="Times New Roman"/>
        </w:rPr>
      </w:pPr>
      <w:r w:rsidRPr="3B025261">
        <w:rPr>
          <w:rFonts w:eastAsia="Calibri" w:cs="Times New Roman"/>
        </w:rPr>
        <w:t xml:space="preserve">The purpose of this round is </w:t>
      </w:r>
      <w:r w:rsidR="41388BCC" w:rsidRPr="3B025261">
        <w:rPr>
          <w:rFonts w:eastAsia="Calibri" w:cs="Times New Roman"/>
        </w:rPr>
        <w:t xml:space="preserve">exclusively </w:t>
      </w:r>
      <w:r w:rsidRPr="3B025261">
        <w:rPr>
          <w:rFonts w:eastAsia="Calibri" w:cs="Times New Roman"/>
        </w:rPr>
        <w:t>to provide funds for the resilient rebuilding of communities that have been impacted by Disaster Events, as those are defined below.</w:t>
      </w:r>
    </w:p>
    <w:p w14:paraId="65278473" w14:textId="11201F45" w:rsidR="00941C49" w:rsidRPr="00941C49" w:rsidRDefault="00941C49" w:rsidP="00933D0B">
      <w:pPr>
        <w:spacing w:after="240"/>
        <w:jc w:val="both"/>
        <w:rPr>
          <w:rFonts w:eastAsia="Calibri" w:cs="Times New Roman"/>
        </w:rPr>
      </w:pPr>
      <w:r>
        <w:rPr>
          <w:rFonts w:eastAsia="Calibri" w:cs="Times New Roman"/>
        </w:rPr>
        <w:t xml:space="preserve">Important definitions and other statutory information regarding the Fund can be found in </w:t>
      </w:r>
      <w:r w:rsidRPr="00941C49">
        <w:rPr>
          <w:rFonts w:eastAsia="Calibri" w:cs="Times New Roman"/>
        </w:rPr>
        <w:t>§10.1-603.28</w:t>
      </w:r>
      <w:r>
        <w:rPr>
          <w:rFonts w:eastAsia="Calibri" w:cs="Times New Roman"/>
        </w:rPr>
        <w:t xml:space="preserve"> </w:t>
      </w:r>
      <w:r>
        <w:rPr>
          <w:rFonts w:eastAsia="Calibri" w:cs="Times New Roman"/>
          <w:i/>
          <w:iCs/>
        </w:rPr>
        <w:t xml:space="preserve">et seq </w:t>
      </w:r>
      <w:r>
        <w:rPr>
          <w:rFonts w:eastAsia="Calibri" w:cs="Times New Roman"/>
        </w:rPr>
        <w:t>of the Code of Virginia.</w:t>
      </w:r>
    </w:p>
    <w:p w14:paraId="092FE7A9" w14:textId="4F89B26E" w:rsidR="004A409C" w:rsidRPr="00C40CAF" w:rsidRDefault="004A409C" w:rsidP="00933D0B">
      <w:pPr>
        <w:spacing w:after="240"/>
        <w:jc w:val="both"/>
        <w:rPr>
          <w:rFonts w:eastAsia="Calibri" w:cs="Times New Roman"/>
          <w:b/>
          <w:bCs/>
          <w:u w:val="single"/>
        </w:rPr>
      </w:pPr>
      <w:r w:rsidRPr="00C40CAF">
        <w:rPr>
          <w:rFonts w:eastAsia="Calibri" w:cs="Times New Roman"/>
          <w:b/>
          <w:bCs/>
          <w:u w:val="single"/>
        </w:rPr>
        <w:t>Eligible Applicants</w:t>
      </w:r>
    </w:p>
    <w:p w14:paraId="78546199" w14:textId="53EEF7CF" w:rsidR="004A409C" w:rsidRPr="00C40CAF" w:rsidRDefault="004A409C" w:rsidP="004A409C">
      <w:pPr>
        <w:rPr>
          <w:rFonts w:eastAsia="Calibri" w:cs="Times New Roman"/>
        </w:rPr>
      </w:pPr>
      <w:r w:rsidRPr="0012487A">
        <w:rPr>
          <w:rFonts w:eastAsia="Calibri" w:cs="Times New Roman"/>
        </w:rPr>
        <w:t xml:space="preserve">Pursuant to § 10.1-603.29 of the Code of Virginia, the Department is required to give “additional weight… to those projects that are located in a locality designated as having a very low community resilience rating under a standard adopted by the Department.” For the purposes of this round, the Department considers any local government that is listed, or lies within the boundaries of those listed, in the respective declarations for one or both Disaster Events, as those are defined in this Notice.  A list of these local governments is contained in Appendix </w:t>
      </w:r>
      <w:r w:rsidR="0012487A" w:rsidRPr="0012487A">
        <w:rPr>
          <w:rFonts w:eastAsia="Calibri" w:cs="Times New Roman"/>
        </w:rPr>
        <w:t>A</w:t>
      </w:r>
      <w:r w:rsidRPr="0012487A">
        <w:rPr>
          <w:rFonts w:eastAsia="Calibri" w:cs="Times New Roman"/>
        </w:rPr>
        <w:t>.</w:t>
      </w:r>
    </w:p>
    <w:p w14:paraId="2E84CD41" w14:textId="77777777" w:rsidR="004A409C" w:rsidRPr="00C40CAF" w:rsidRDefault="004A409C" w:rsidP="004A409C">
      <w:pPr>
        <w:pStyle w:val="NormalWeb"/>
        <w:spacing w:before="0" w:beforeAutospacing="0" w:after="192" w:afterAutospacing="0"/>
        <w:textAlignment w:val="baseline"/>
        <w:rPr>
          <w:rFonts w:asciiTheme="minorHAnsi" w:hAnsiTheme="minorHAnsi"/>
        </w:rPr>
      </w:pPr>
      <w:r w:rsidRPr="00C40CAF">
        <w:rPr>
          <w:rFonts w:asciiTheme="minorHAnsi" w:hAnsiTheme="minorHAnsi"/>
        </w:rPr>
        <w:t xml:space="preserve">“Disaster Event” means one or both of the following: </w:t>
      </w:r>
    </w:p>
    <w:p w14:paraId="37C2F0C2" w14:textId="77777777" w:rsidR="004A409C" w:rsidRPr="00C40CAF" w:rsidRDefault="004A409C" w:rsidP="004A409C">
      <w:pPr>
        <w:pStyle w:val="NormalWeb"/>
        <w:spacing w:before="0" w:beforeAutospacing="0" w:after="192" w:afterAutospacing="0"/>
        <w:ind w:left="720"/>
        <w:textAlignment w:val="baseline"/>
        <w:rPr>
          <w:rFonts w:asciiTheme="minorHAnsi" w:hAnsiTheme="minorHAnsi"/>
        </w:rPr>
      </w:pPr>
      <w:r w:rsidRPr="00C40CAF">
        <w:rPr>
          <w:rFonts w:asciiTheme="minorHAnsi" w:hAnsiTheme="minorHAnsi"/>
        </w:rPr>
        <w:t xml:space="preserve">1. Tropical Storm Helene, being a disaster occurring on or after September 25, 2024, but before October 3, 2024, and subject to a Major Disaster Declaration (FEMA-4831-DR) issued by President Biden on October 1, 2024, and </w:t>
      </w:r>
    </w:p>
    <w:p w14:paraId="4C9B1A84" w14:textId="77777777" w:rsidR="004A409C" w:rsidRPr="00C40CAF" w:rsidRDefault="004A409C" w:rsidP="004A409C">
      <w:pPr>
        <w:pStyle w:val="NormalWeb"/>
        <w:spacing w:before="0" w:beforeAutospacing="0" w:after="192" w:afterAutospacing="0"/>
        <w:ind w:left="720"/>
        <w:textAlignment w:val="baseline"/>
        <w:rPr>
          <w:rFonts w:asciiTheme="minorHAnsi" w:hAnsiTheme="minorHAnsi"/>
        </w:rPr>
      </w:pPr>
      <w:r w:rsidRPr="00C40CAF">
        <w:rPr>
          <w:rFonts w:asciiTheme="minorHAnsi" w:hAnsiTheme="minorHAnsi"/>
        </w:rPr>
        <w:t>2. The storms occurring during the State of Emergency declared by Governor Youngkin on February 10, 2025, including, without limitation the heavy rains occurring on or around February 15 and 16, 2025.</w:t>
      </w:r>
    </w:p>
    <w:p w14:paraId="0476819D" w14:textId="2A5C3565" w:rsidR="004A409C" w:rsidRPr="00C40CAF" w:rsidRDefault="004A409C" w:rsidP="3B025261">
      <w:pPr>
        <w:pStyle w:val="NormalWeb"/>
        <w:spacing w:after="192"/>
        <w:rPr>
          <w:rFonts w:asciiTheme="minorHAnsi" w:hAnsiTheme="minorHAnsi"/>
        </w:rPr>
      </w:pPr>
      <w:r w:rsidRPr="3B025261">
        <w:rPr>
          <w:rFonts w:asciiTheme="minorHAnsi" w:hAnsiTheme="minorHAnsi"/>
        </w:rPr>
        <w:t xml:space="preserve">Only eligible </w:t>
      </w:r>
      <w:r w:rsidR="5319C5C1" w:rsidRPr="3B025261">
        <w:rPr>
          <w:rFonts w:asciiTheme="minorHAnsi" w:hAnsiTheme="minorHAnsi"/>
        </w:rPr>
        <w:t>local governments</w:t>
      </w:r>
      <w:r w:rsidRPr="3B025261">
        <w:rPr>
          <w:rFonts w:asciiTheme="minorHAnsi" w:hAnsiTheme="minorHAnsi"/>
        </w:rPr>
        <w:t xml:space="preserve"> may </w:t>
      </w:r>
      <w:r w:rsidR="44B1530F" w:rsidRPr="3B025261">
        <w:rPr>
          <w:rFonts w:asciiTheme="minorHAnsi" w:hAnsiTheme="minorHAnsi"/>
        </w:rPr>
        <w:t xml:space="preserve">apply for and </w:t>
      </w:r>
      <w:r w:rsidRPr="3B025261">
        <w:rPr>
          <w:rFonts w:asciiTheme="minorHAnsi" w:hAnsiTheme="minorHAnsi"/>
        </w:rPr>
        <w:t xml:space="preserve">receive awards directly from the Fund. However, eligible applicants may subsequently award funds for these purposes to </w:t>
      </w:r>
      <w:r w:rsidR="00C40CAF" w:rsidRPr="3B025261">
        <w:rPr>
          <w:rFonts w:asciiTheme="minorHAnsi" w:hAnsiTheme="minorHAnsi"/>
        </w:rPr>
        <w:t>p</w:t>
      </w:r>
      <w:r w:rsidRPr="3B025261">
        <w:rPr>
          <w:rFonts w:asciiTheme="minorHAnsi" w:hAnsiTheme="minorHAnsi"/>
        </w:rPr>
        <w:t xml:space="preserve">ersons, as that term is defined in </w:t>
      </w:r>
      <w:r w:rsidR="00C40CAF" w:rsidRPr="3B025261">
        <w:rPr>
          <w:rFonts w:asciiTheme="minorHAnsi" w:hAnsiTheme="minorHAnsi"/>
        </w:rPr>
        <w:t>§ 1-230 of the Code of Virginia</w:t>
      </w:r>
      <w:r w:rsidRPr="3B025261">
        <w:rPr>
          <w:rFonts w:asciiTheme="minorHAnsi" w:hAnsiTheme="minorHAnsi"/>
        </w:rPr>
        <w:t xml:space="preserve">.  Eligible applicants may contract or provide subgrant agreements with public, private and non-profit organizations or entities to execute approved activities or projects.  </w:t>
      </w:r>
    </w:p>
    <w:p w14:paraId="4B1D5F14" w14:textId="4F502B46" w:rsidR="004A409C" w:rsidRPr="00C40CAF" w:rsidRDefault="004A409C" w:rsidP="00933D0B">
      <w:pPr>
        <w:spacing w:after="240"/>
        <w:jc w:val="both"/>
        <w:rPr>
          <w:rFonts w:eastAsia="Calibri" w:cs="Times New Roman"/>
          <w:b/>
          <w:bCs/>
          <w:u w:val="single"/>
        </w:rPr>
      </w:pPr>
      <w:r w:rsidRPr="00C40CAF">
        <w:rPr>
          <w:rFonts w:eastAsia="Calibri" w:cs="Times New Roman"/>
          <w:b/>
          <w:bCs/>
          <w:u w:val="single"/>
        </w:rPr>
        <w:t>Categories of Funding</w:t>
      </w:r>
    </w:p>
    <w:p w14:paraId="0D4454A3" w14:textId="626D5E9E" w:rsidR="004A409C" w:rsidRPr="00C40CAF" w:rsidRDefault="004A409C" w:rsidP="00933D0B">
      <w:pPr>
        <w:spacing w:after="240"/>
        <w:jc w:val="both"/>
        <w:rPr>
          <w:rFonts w:eastAsia="Calibri" w:cs="Times New Roman"/>
        </w:rPr>
      </w:pPr>
      <w:r w:rsidRPr="00C40CAF">
        <w:rPr>
          <w:rFonts w:eastAsia="Calibri" w:cs="Times New Roman"/>
        </w:rPr>
        <w:t>The Department intends to make funds available for three categories of activities:</w:t>
      </w:r>
    </w:p>
    <w:p w14:paraId="10193BC0" w14:textId="1B999A01" w:rsidR="004A409C" w:rsidRPr="00C40CAF" w:rsidRDefault="004A409C" w:rsidP="004A409C">
      <w:pPr>
        <w:spacing w:after="240"/>
        <w:jc w:val="both"/>
        <w:rPr>
          <w:rFonts w:eastAsia="Calibri" w:cs="Times New Roman"/>
        </w:rPr>
      </w:pPr>
      <w:r w:rsidRPr="00C40CAF">
        <w:rPr>
          <w:rFonts w:eastAsia="Calibri" w:cs="Times New Roman"/>
          <w:u w:val="single"/>
        </w:rPr>
        <w:t>Category 1</w:t>
      </w:r>
      <w:r w:rsidRPr="00C40CAF">
        <w:rPr>
          <w:rFonts w:eastAsia="Calibri" w:cs="Times New Roman"/>
        </w:rPr>
        <w:t>: Grants and loans to support the resilient rebuilding of communities.</w:t>
      </w:r>
    </w:p>
    <w:p w14:paraId="52D200D1" w14:textId="56517369" w:rsidR="004A409C" w:rsidRPr="00C40CAF" w:rsidRDefault="004A409C" w:rsidP="004A409C">
      <w:pPr>
        <w:spacing w:after="240"/>
        <w:jc w:val="both"/>
        <w:rPr>
          <w:rFonts w:eastAsia="Calibri" w:cs="Times New Roman"/>
        </w:rPr>
      </w:pPr>
      <w:r w:rsidRPr="00C40CAF">
        <w:rPr>
          <w:rFonts w:eastAsia="Calibri" w:cs="Times New Roman"/>
        </w:rPr>
        <w:t>Available Funding: $2</w:t>
      </w:r>
      <w:r w:rsidR="00AE66C3">
        <w:rPr>
          <w:rFonts w:eastAsia="Calibri" w:cs="Times New Roman"/>
        </w:rPr>
        <w:t>0</w:t>
      </w:r>
      <w:r w:rsidRPr="00C40CAF">
        <w:rPr>
          <w:rFonts w:eastAsia="Calibri" w:cs="Times New Roman"/>
        </w:rPr>
        <w:t>,000,000</w:t>
      </w:r>
    </w:p>
    <w:p w14:paraId="2453AAB3" w14:textId="7C8598B8" w:rsidR="004A409C" w:rsidRPr="00C40CAF" w:rsidRDefault="004A409C" w:rsidP="004A409C">
      <w:pPr>
        <w:spacing w:after="240"/>
        <w:jc w:val="both"/>
        <w:rPr>
          <w:rFonts w:eastAsia="Calibri" w:cs="Times New Roman"/>
        </w:rPr>
      </w:pPr>
      <w:r w:rsidRPr="00C40CAF">
        <w:rPr>
          <w:rFonts w:eastAsia="Calibri" w:cs="Times New Roman"/>
        </w:rPr>
        <w:t xml:space="preserve">Eligible Activities: </w:t>
      </w:r>
    </w:p>
    <w:p w14:paraId="262D6B8C" w14:textId="7D002347" w:rsidR="004A409C" w:rsidRDefault="004A409C" w:rsidP="5A5114A6">
      <w:pPr>
        <w:pStyle w:val="ListParagraph"/>
        <w:numPr>
          <w:ilvl w:val="0"/>
          <w:numId w:val="2"/>
        </w:numPr>
        <w:pBdr>
          <w:top w:val="nil"/>
          <w:left w:val="nil"/>
          <w:bottom w:val="nil"/>
          <w:right w:val="nil"/>
          <w:between w:val="nil"/>
        </w:pBdr>
        <w:spacing w:after="240" w:line="240" w:lineRule="auto"/>
        <w:jc w:val="both"/>
        <w:rPr>
          <w:rFonts w:eastAsia="Calibri" w:cs="Times New Roman"/>
        </w:rPr>
      </w:pPr>
      <w:r w:rsidRPr="5A5114A6">
        <w:rPr>
          <w:rFonts w:eastAsia="Calibri" w:cs="Times New Roman"/>
        </w:rPr>
        <w:lastRenderedPageBreak/>
        <w:t>Removal of privately-owned hazardous structures within the</w:t>
      </w:r>
      <w:r w:rsidR="05603A24" w:rsidRPr="5A5114A6">
        <w:rPr>
          <w:rFonts w:eastAsia="Calibri" w:cs="Times New Roman"/>
        </w:rPr>
        <w:t xml:space="preserve"> regulatory</w:t>
      </w:r>
      <w:r w:rsidRPr="5A5114A6">
        <w:rPr>
          <w:rFonts w:eastAsia="Calibri" w:cs="Times New Roman"/>
        </w:rPr>
        <w:t xml:space="preserve"> floodway</w:t>
      </w:r>
      <w:r w:rsidR="00AE66C3">
        <w:rPr>
          <w:rFonts w:eastAsia="Calibri" w:cs="Times New Roman"/>
        </w:rPr>
        <w:t>,</w:t>
      </w:r>
      <w:r w:rsidR="00CE1FDD">
        <w:rPr>
          <w:rFonts w:eastAsia="Calibri" w:cs="Times New Roman"/>
        </w:rPr>
        <w:t xml:space="preserve"> and </w:t>
      </w:r>
      <w:r w:rsidR="3D57460E" w:rsidRPr="5A5114A6">
        <w:rPr>
          <w:rFonts w:eastAsia="Calibri" w:cs="Times New Roman"/>
        </w:rPr>
        <w:t xml:space="preserve">flood-proofing and </w:t>
      </w:r>
      <w:r w:rsidR="4DB3EDAD" w:rsidRPr="5A5114A6">
        <w:rPr>
          <w:rFonts w:eastAsia="Calibri" w:cs="Times New Roman"/>
        </w:rPr>
        <w:t xml:space="preserve">reconstruction </w:t>
      </w:r>
      <w:r w:rsidRPr="5A5114A6">
        <w:rPr>
          <w:rFonts w:eastAsia="Calibri" w:cs="Times New Roman"/>
        </w:rPr>
        <w:t xml:space="preserve">of certain location-dependent structures within the floodway and floodplain, such as </w:t>
      </w:r>
      <w:r w:rsidR="41B2BE8D" w:rsidRPr="5A5114A6">
        <w:rPr>
          <w:rFonts w:eastAsia="Calibri" w:cs="Times New Roman"/>
        </w:rPr>
        <w:t xml:space="preserve">privately owned </w:t>
      </w:r>
      <w:r w:rsidR="5DA46B86" w:rsidRPr="5A5114A6">
        <w:rPr>
          <w:rFonts w:eastAsia="Calibri" w:cs="Times New Roman"/>
        </w:rPr>
        <w:t xml:space="preserve">access </w:t>
      </w:r>
      <w:r w:rsidRPr="5A5114A6">
        <w:rPr>
          <w:rFonts w:eastAsia="Calibri" w:cs="Times New Roman"/>
        </w:rPr>
        <w:t>bridges, culvert</w:t>
      </w:r>
      <w:r w:rsidR="4F8E53E6" w:rsidRPr="5A5114A6">
        <w:rPr>
          <w:rFonts w:eastAsia="Calibri" w:cs="Times New Roman"/>
        </w:rPr>
        <w:t>s</w:t>
      </w:r>
      <w:r w:rsidRPr="5A5114A6">
        <w:rPr>
          <w:rFonts w:eastAsia="Calibri" w:cs="Times New Roman"/>
        </w:rPr>
        <w:t xml:space="preserve">, retaining walls, and other </w:t>
      </w:r>
      <w:r w:rsidR="5D3DFCAE" w:rsidRPr="5A5114A6">
        <w:rPr>
          <w:rFonts w:eastAsia="Calibri" w:cs="Times New Roman"/>
        </w:rPr>
        <w:t xml:space="preserve">water </w:t>
      </w:r>
      <w:r w:rsidRPr="5A5114A6">
        <w:rPr>
          <w:rFonts w:eastAsia="Calibri" w:cs="Times New Roman"/>
        </w:rPr>
        <w:t xml:space="preserve">control structures, in a more flood-resilient </w:t>
      </w:r>
      <w:proofErr w:type="gramStart"/>
      <w:r w:rsidRPr="5A5114A6">
        <w:rPr>
          <w:rFonts w:eastAsia="Calibri" w:cs="Times New Roman"/>
        </w:rPr>
        <w:t>manner;</w:t>
      </w:r>
      <w:proofErr w:type="gramEnd"/>
    </w:p>
    <w:p w14:paraId="3923FB53" w14:textId="77777777" w:rsidR="003C13AE" w:rsidRPr="00C40CAF" w:rsidRDefault="003C13AE" w:rsidP="003C13AE">
      <w:pPr>
        <w:pStyle w:val="ListParagraph"/>
        <w:pBdr>
          <w:top w:val="nil"/>
          <w:left w:val="nil"/>
          <w:bottom w:val="nil"/>
          <w:right w:val="nil"/>
          <w:between w:val="nil"/>
        </w:pBdr>
        <w:spacing w:after="240" w:line="240" w:lineRule="auto"/>
        <w:jc w:val="both"/>
        <w:rPr>
          <w:rFonts w:eastAsia="Calibri" w:cs="Times New Roman"/>
        </w:rPr>
      </w:pPr>
    </w:p>
    <w:p w14:paraId="40B0C4BE" w14:textId="600AC59A" w:rsidR="006D63D9" w:rsidRDefault="00A520B2" w:rsidP="5A5114A6">
      <w:pPr>
        <w:pStyle w:val="ListParagraph"/>
        <w:numPr>
          <w:ilvl w:val="0"/>
          <w:numId w:val="2"/>
        </w:numPr>
        <w:pBdr>
          <w:top w:val="nil"/>
          <w:left w:val="nil"/>
          <w:bottom w:val="nil"/>
          <w:right w:val="nil"/>
          <w:between w:val="nil"/>
        </w:pBdr>
        <w:spacing w:after="240" w:line="240" w:lineRule="auto"/>
        <w:jc w:val="both"/>
        <w:rPr>
          <w:rFonts w:eastAsia="Calibri" w:cs="Times New Roman"/>
        </w:rPr>
      </w:pPr>
      <w:r>
        <w:rPr>
          <w:rFonts w:eastAsia="Calibri" w:cs="Times New Roman"/>
        </w:rPr>
        <w:t>B</w:t>
      </w:r>
      <w:r w:rsidRPr="00C90C75">
        <w:rPr>
          <w:rFonts w:eastAsia="Calibri" w:cs="Times New Roman"/>
        </w:rPr>
        <w:t xml:space="preserve">uyouts and demolition of structures </w:t>
      </w:r>
      <w:proofErr w:type="gramStart"/>
      <w:r w:rsidRPr="00C90C75">
        <w:rPr>
          <w:rFonts w:eastAsia="Calibri" w:cs="Times New Roman"/>
        </w:rPr>
        <w:t>in order to</w:t>
      </w:r>
      <w:proofErr w:type="gramEnd"/>
      <w:r w:rsidRPr="00C90C75">
        <w:rPr>
          <w:rFonts w:eastAsia="Calibri" w:cs="Times New Roman"/>
        </w:rPr>
        <w:t xml:space="preserve"> move residents out of floodplain</w:t>
      </w:r>
      <w:r>
        <w:rPr>
          <w:rFonts w:eastAsia="Calibri" w:cs="Times New Roman"/>
        </w:rPr>
        <w:t xml:space="preserve"> and flood</w:t>
      </w:r>
      <w:r w:rsidRPr="00C90C75">
        <w:rPr>
          <w:rFonts w:eastAsia="Calibri" w:cs="Times New Roman"/>
        </w:rPr>
        <w:t xml:space="preserve"> hazard areas and </w:t>
      </w:r>
      <w:r w:rsidR="00AE66C3">
        <w:rPr>
          <w:rFonts w:eastAsia="Calibri" w:cs="Times New Roman"/>
        </w:rPr>
        <w:t xml:space="preserve">to </w:t>
      </w:r>
      <w:r w:rsidRPr="00C90C75">
        <w:rPr>
          <w:rFonts w:eastAsia="Calibri" w:cs="Times New Roman"/>
        </w:rPr>
        <w:t xml:space="preserve">restore or enhance the natural flood mitigation capacity of functioning </w:t>
      </w:r>
      <w:proofErr w:type="gramStart"/>
      <w:r w:rsidRPr="00C90C75">
        <w:rPr>
          <w:rFonts w:eastAsia="Calibri" w:cs="Times New Roman"/>
        </w:rPr>
        <w:t>floodplains</w:t>
      </w:r>
      <w:r w:rsidR="00AE66C3">
        <w:rPr>
          <w:rFonts w:eastAsia="Calibri" w:cs="Times New Roman"/>
        </w:rPr>
        <w:t>;</w:t>
      </w:r>
      <w:proofErr w:type="gramEnd"/>
      <w:r w:rsidR="00991EF2">
        <w:rPr>
          <w:rFonts w:eastAsia="Calibri" w:cs="Times New Roman"/>
        </w:rPr>
        <w:t xml:space="preserve"> </w:t>
      </w:r>
    </w:p>
    <w:p w14:paraId="089A030F" w14:textId="77777777" w:rsidR="00AE66C3" w:rsidRPr="00AE66C3" w:rsidRDefault="00AE66C3" w:rsidP="00AE66C3">
      <w:pPr>
        <w:pStyle w:val="ListParagraph"/>
        <w:rPr>
          <w:rFonts w:eastAsia="Calibri" w:cs="Times New Roman"/>
        </w:rPr>
      </w:pPr>
    </w:p>
    <w:p w14:paraId="37838F95" w14:textId="6AB116EB" w:rsidR="004A409C" w:rsidRDefault="006822E9" w:rsidP="5A5114A6">
      <w:pPr>
        <w:pStyle w:val="ListParagraph"/>
        <w:numPr>
          <w:ilvl w:val="0"/>
          <w:numId w:val="2"/>
        </w:numPr>
        <w:pBdr>
          <w:top w:val="nil"/>
          <w:left w:val="nil"/>
          <w:bottom w:val="nil"/>
          <w:right w:val="nil"/>
          <w:between w:val="nil"/>
        </w:pBdr>
        <w:spacing w:after="240" w:line="240" w:lineRule="auto"/>
        <w:jc w:val="both"/>
        <w:rPr>
          <w:rFonts w:eastAsia="Calibri" w:cs="Times New Roman"/>
        </w:rPr>
      </w:pPr>
      <w:r>
        <w:rPr>
          <w:rFonts w:eastAsia="Calibri" w:cs="Times New Roman"/>
        </w:rPr>
        <w:t>R</w:t>
      </w:r>
      <w:r w:rsidR="00991EF2" w:rsidRPr="5E4A7C41">
        <w:rPr>
          <w:rFonts w:eastAsia="Calibri" w:cs="Times New Roman"/>
        </w:rPr>
        <w:t xml:space="preserve">elocation assistance for </w:t>
      </w:r>
      <w:r w:rsidR="00991EF2">
        <w:rPr>
          <w:rFonts w:eastAsia="Calibri" w:cs="Times New Roman"/>
        </w:rPr>
        <w:t xml:space="preserve">occupants following </w:t>
      </w:r>
      <w:r w:rsidR="00991EF2" w:rsidRPr="5E4A7C41">
        <w:rPr>
          <w:rFonts w:eastAsia="Calibri" w:cs="Times New Roman"/>
        </w:rPr>
        <w:t xml:space="preserve">the </w:t>
      </w:r>
      <w:r>
        <w:rPr>
          <w:rFonts w:eastAsia="Calibri" w:cs="Times New Roman"/>
        </w:rPr>
        <w:t>buyout</w:t>
      </w:r>
      <w:r w:rsidR="00991EF2" w:rsidRPr="5E4A7C41">
        <w:rPr>
          <w:rFonts w:eastAsia="Calibri" w:cs="Times New Roman"/>
        </w:rPr>
        <w:t xml:space="preserve"> of primary residence</w:t>
      </w:r>
      <w:r w:rsidR="00991EF2">
        <w:rPr>
          <w:rFonts w:eastAsia="Calibri" w:cs="Times New Roman"/>
        </w:rPr>
        <w:t>s</w:t>
      </w:r>
      <w:r w:rsidR="00991EF2" w:rsidRPr="5E4A7C41">
        <w:rPr>
          <w:rFonts w:eastAsia="Calibri" w:cs="Times New Roman"/>
        </w:rPr>
        <w:t xml:space="preserve">, including multifamily </w:t>
      </w:r>
      <w:proofErr w:type="gramStart"/>
      <w:r w:rsidR="00991EF2" w:rsidRPr="5E4A7C41">
        <w:rPr>
          <w:rFonts w:eastAsia="Calibri" w:cs="Times New Roman"/>
        </w:rPr>
        <w:t>units</w:t>
      </w:r>
      <w:r w:rsidR="004A409C" w:rsidRPr="5A5114A6">
        <w:rPr>
          <w:rFonts w:eastAsia="Calibri" w:cs="Times New Roman"/>
        </w:rPr>
        <w:t>;</w:t>
      </w:r>
      <w:proofErr w:type="gramEnd"/>
    </w:p>
    <w:p w14:paraId="63608121" w14:textId="77777777" w:rsidR="003C13AE" w:rsidRPr="00C40CAF" w:rsidRDefault="003C13AE" w:rsidP="003C13AE">
      <w:pPr>
        <w:pStyle w:val="ListParagraph"/>
        <w:pBdr>
          <w:top w:val="nil"/>
          <w:left w:val="nil"/>
          <w:bottom w:val="nil"/>
          <w:right w:val="nil"/>
          <w:between w:val="nil"/>
        </w:pBdr>
        <w:spacing w:after="240" w:line="240" w:lineRule="auto"/>
        <w:jc w:val="both"/>
        <w:rPr>
          <w:rFonts w:eastAsia="Calibri" w:cs="Times New Roman"/>
        </w:rPr>
      </w:pPr>
    </w:p>
    <w:p w14:paraId="4D282A09" w14:textId="6FDFEDE7" w:rsidR="004A409C" w:rsidRDefault="004A409C" w:rsidP="5A5114A6">
      <w:pPr>
        <w:pStyle w:val="ListParagraph"/>
        <w:numPr>
          <w:ilvl w:val="0"/>
          <w:numId w:val="2"/>
        </w:numPr>
        <w:pBdr>
          <w:top w:val="nil"/>
          <w:left w:val="nil"/>
          <w:bottom w:val="nil"/>
          <w:right w:val="nil"/>
          <w:between w:val="nil"/>
        </w:pBdr>
        <w:spacing w:after="240" w:line="240" w:lineRule="auto"/>
        <w:jc w:val="both"/>
        <w:rPr>
          <w:rFonts w:eastAsia="Calibri" w:cs="Times New Roman"/>
        </w:rPr>
      </w:pPr>
      <w:r w:rsidRPr="5A5114A6">
        <w:rPr>
          <w:rFonts w:eastAsia="Calibri" w:cs="Times New Roman"/>
        </w:rPr>
        <w:t>Costs related to projects that provide flood hazard mitigation benefits</w:t>
      </w:r>
      <w:r w:rsidR="006602FB">
        <w:rPr>
          <w:rFonts w:eastAsia="Calibri" w:cs="Times New Roman"/>
        </w:rPr>
        <w:t xml:space="preserve"> or lower flood risk</w:t>
      </w:r>
      <w:r w:rsidRPr="5A5114A6">
        <w:rPr>
          <w:rFonts w:eastAsia="Calibri" w:cs="Times New Roman"/>
        </w:rPr>
        <w:t xml:space="preserve"> to buildings, </w:t>
      </w:r>
      <w:r w:rsidR="00A1481F" w:rsidRPr="5A5114A6">
        <w:rPr>
          <w:rFonts w:eastAsia="Calibri" w:cs="Times New Roman"/>
        </w:rPr>
        <w:t xml:space="preserve">including </w:t>
      </w:r>
      <w:r w:rsidR="000F3181">
        <w:rPr>
          <w:rFonts w:eastAsia="Calibri" w:cs="Times New Roman"/>
        </w:rPr>
        <w:t xml:space="preserve">costs related to </w:t>
      </w:r>
      <w:r w:rsidR="00DE0EE6">
        <w:rPr>
          <w:rFonts w:eastAsia="Calibri" w:cs="Times New Roman"/>
        </w:rPr>
        <w:t>h</w:t>
      </w:r>
      <w:r w:rsidR="000F3181" w:rsidRPr="167EFC7C">
        <w:rPr>
          <w:rFonts w:eastAsia="Calibri" w:cs="Times New Roman"/>
        </w:rPr>
        <w:t xml:space="preserve">ome or business upgrades for </w:t>
      </w:r>
      <w:r w:rsidR="006D63D9">
        <w:rPr>
          <w:rFonts w:eastAsia="Calibri" w:cs="Times New Roman"/>
        </w:rPr>
        <w:t xml:space="preserve">flood </w:t>
      </w:r>
      <w:r w:rsidR="000F3181" w:rsidRPr="167EFC7C">
        <w:rPr>
          <w:rFonts w:eastAsia="Calibri" w:cs="Times New Roman"/>
        </w:rPr>
        <w:t>resilience purposes, mitigation reconstruction, accessory structure resilien</w:t>
      </w:r>
      <w:r w:rsidR="000F3181">
        <w:rPr>
          <w:rFonts w:eastAsia="Calibri" w:cs="Times New Roman"/>
        </w:rPr>
        <w:t>ce</w:t>
      </w:r>
      <w:r w:rsidR="000F3181" w:rsidRPr="167EFC7C">
        <w:rPr>
          <w:rFonts w:eastAsia="Calibri" w:cs="Times New Roman"/>
        </w:rPr>
        <w:t xml:space="preserve"> measures, increased cost</w:t>
      </w:r>
      <w:r w:rsidR="00A520B2">
        <w:rPr>
          <w:rFonts w:eastAsia="Calibri" w:cs="Times New Roman"/>
        </w:rPr>
        <w:t>s</w:t>
      </w:r>
      <w:r w:rsidR="000F3181" w:rsidRPr="167EFC7C">
        <w:rPr>
          <w:rFonts w:eastAsia="Calibri" w:cs="Times New Roman"/>
        </w:rPr>
        <w:t xml:space="preserve"> of compliance with regulatory requirements</w:t>
      </w:r>
      <w:r w:rsidR="00A520B2">
        <w:rPr>
          <w:rFonts w:eastAsia="Calibri" w:cs="Times New Roman"/>
        </w:rPr>
        <w:t xml:space="preserve">, or increased costs associated with </w:t>
      </w:r>
      <w:r w:rsidR="00A1481F" w:rsidRPr="5A5114A6">
        <w:rPr>
          <w:rFonts w:eastAsia="Calibri" w:cs="Times New Roman"/>
        </w:rPr>
        <w:t xml:space="preserve">the reconstruction of damaged structures in a more </w:t>
      </w:r>
      <w:r w:rsidR="1A138F2E" w:rsidRPr="5A5114A6">
        <w:rPr>
          <w:rFonts w:eastAsia="Calibri" w:cs="Times New Roman"/>
        </w:rPr>
        <w:t xml:space="preserve">flood </w:t>
      </w:r>
      <w:r w:rsidR="00A1481F" w:rsidRPr="5A5114A6">
        <w:rPr>
          <w:rFonts w:eastAsia="Calibri" w:cs="Times New Roman"/>
        </w:rPr>
        <w:t xml:space="preserve">resilient </w:t>
      </w:r>
      <w:proofErr w:type="gramStart"/>
      <w:r w:rsidR="00A1481F" w:rsidRPr="5A5114A6">
        <w:rPr>
          <w:rFonts w:eastAsia="Calibri" w:cs="Times New Roman"/>
        </w:rPr>
        <w:t>manner;</w:t>
      </w:r>
      <w:proofErr w:type="gramEnd"/>
      <w:r w:rsidR="00A1481F" w:rsidRPr="5A5114A6">
        <w:rPr>
          <w:rFonts w:eastAsia="Calibri" w:cs="Times New Roman"/>
        </w:rPr>
        <w:t xml:space="preserve"> </w:t>
      </w:r>
    </w:p>
    <w:p w14:paraId="706F8AAB" w14:textId="77777777" w:rsidR="00C90C75" w:rsidRPr="00C40CAF" w:rsidRDefault="00C90C75" w:rsidP="003C13AE">
      <w:pPr>
        <w:pStyle w:val="ListParagraph"/>
        <w:pBdr>
          <w:top w:val="nil"/>
          <w:left w:val="nil"/>
          <w:bottom w:val="nil"/>
          <w:right w:val="nil"/>
          <w:between w:val="nil"/>
        </w:pBdr>
        <w:spacing w:after="240" w:line="240" w:lineRule="auto"/>
        <w:jc w:val="both"/>
        <w:rPr>
          <w:rFonts w:eastAsia="Calibri" w:cs="Times New Roman"/>
        </w:rPr>
      </w:pPr>
    </w:p>
    <w:p w14:paraId="4EF3C0B9" w14:textId="7B32E41B" w:rsidR="0FF583D9" w:rsidRDefault="0FF583D9" w:rsidP="5A5114A6">
      <w:pPr>
        <w:pStyle w:val="ListParagraph"/>
        <w:numPr>
          <w:ilvl w:val="0"/>
          <w:numId w:val="2"/>
        </w:numPr>
        <w:pBdr>
          <w:top w:val="nil"/>
          <w:left w:val="nil"/>
          <w:bottom w:val="nil"/>
          <w:right w:val="nil"/>
          <w:between w:val="nil"/>
        </w:pBdr>
        <w:spacing w:after="240" w:line="240" w:lineRule="auto"/>
        <w:jc w:val="both"/>
        <w:rPr>
          <w:rFonts w:eastAsia="Calibri" w:cs="Times New Roman"/>
        </w:rPr>
      </w:pPr>
      <w:r w:rsidRPr="5A5114A6">
        <w:rPr>
          <w:rFonts w:eastAsia="Calibri" w:cs="Times New Roman"/>
        </w:rPr>
        <w:t xml:space="preserve">Post-flood debris removal and management measures; and </w:t>
      </w:r>
    </w:p>
    <w:p w14:paraId="4C1013D1" w14:textId="77777777" w:rsidR="00250284" w:rsidRPr="00250284" w:rsidRDefault="00250284" w:rsidP="00250284">
      <w:pPr>
        <w:pStyle w:val="ListParagraph"/>
        <w:rPr>
          <w:rFonts w:eastAsia="Calibri" w:cs="Times New Roman"/>
        </w:rPr>
      </w:pPr>
    </w:p>
    <w:p w14:paraId="18E16C1F" w14:textId="3DC1AE02" w:rsidR="004A409C" w:rsidRPr="00C40CAF" w:rsidRDefault="004A409C" w:rsidP="00A1481F">
      <w:pPr>
        <w:pStyle w:val="ListParagraph"/>
        <w:numPr>
          <w:ilvl w:val="0"/>
          <w:numId w:val="2"/>
        </w:numPr>
        <w:pBdr>
          <w:top w:val="nil"/>
          <w:left w:val="nil"/>
          <w:bottom w:val="nil"/>
          <w:right w:val="nil"/>
          <w:between w:val="nil"/>
        </w:pBdr>
        <w:spacing w:after="240" w:line="240" w:lineRule="auto"/>
        <w:jc w:val="both"/>
        <w:rPr>
          <w:rFonts w:eastAsia="Calibri" w:cs="Times New Roman"/>
          <w:color w:val="000000"/>
        </w:rPr>
      </w:pPr>
      <w:r w:rsidRPr="00C40CAF">
        <w:rPr>
          <w:rFonts w:eastAsia="Calibri" w:cs="Times New Roman"/>
          <w:color w:val="000000"/>
        </w:rPr>
        <w:t xml:space="preserve">Other projects </w:t>
      </w:r>
      <w:r w:rsidR="008D5ADF">
        <w:rPr>
          <w:rFonts w:eastAsia="Calibri" w:cs="Times New Roman"/>
          <w:color w:val="000000"/>
        </w:rPr>
        <w:t xml:space="preserve">and activities </w:t>
      </w:r>
      <w:r w:rsidRPr="00C40CAF">
        <w:rPr>
          <w:rFonts w:eastAsia="Calibri" w:cs="Times New Roman"/>
          <w:color w:val="000000"/>
        </w:rPr>
        <w:t>consistent with th</w:t>
      </w:r>
      <w:r w:rsidR="00A1481F" w:rsidRPr="00C40CAF">
        <w:rPr>
          <w:rFonts w:eastAsia="Calibri" w:cs="Times New Roman"/>
          <w:color w:val="000000"/>
        </w:rPr>
        <w:t>e statutory scope of the Fund.</w:t>
      </w:r>
    </w:p>
    <w:p w14:paraId="2FCFC6A5" w14:textId="664DAFCB" w:rsidR="00A1481F" w:rsidRPr="00C40CAF" w:rsidRDefault="00A1481F" w:rsidP="00A1481F">
      <w:pPr>
        <w:pBdr>
          <w:top w:val="nil"/>
          <w:left w:val="nil"/>
          <w:bottom w:val="nil"/>
          <w:right w:val="nil"/>
          <w:between w:val="nil"/>
        </w:pBdr>
        <w:spacing w:after="240" w:line="240" w:lineRule="auto"/>
        <w:jc w:val="both"/>
        <w:rPr>
          <w:rFonts w:eastAsia="Calibri" w:cs="Times New Roman"/>
          <w:color w:val="000000"/>
        </w:rPr>
      </w:pPr>
      <w:r w:rsidRPr="00C40CAF">
        <w:rPr>
          <w:rFonts w:eastAsia="Calibri" w:cs="Times New Roman"/>
          <w:color w:val="000000"/>
          <w:u w:val="single"/>
        </w:rPr>
        <w:t>Category 2</w:t>
      </w:r>
      <w:r w:rsidRPr="00C40CAF">
        <w:rPr>
          <w:rFonts w:eastAsia="Calibri" w:cs="Times New Roman"/>
          <w:color w:val="000000"/>
        </w:rPr>
        <w:t>: Grants and loans to support the resilient rebuilding of infrastructure.</w:t>
      </w:r>
    </w:p>
    <w:p w14:paraId="25F43107" w14:textId="69B4E863" w:rsidR="00A1481F" w:rsidRPr="00C40CAF" w:rsidRDefault="00A1481F" w:rsidP="00A1481F">
      <w:pPr>
        <w:pBdr>
          <w:top w:val="nil"/>
          <w:left w:val="nil"/>
          <w:bottom w:val="nil"/>
          <w:right w:val="nil"/>
          <w:between w:val="nil"/>
        </w:pBdr>
        <w:spacing w:after="240" w:line="240" w:lineRule="auto"/>
        <w:jc w:val="both"/>
        <w:rPr>
          <w:rFonts w:eastAsia="Calibri" w:cs="Times New Roman"/>
          <w:color w:val="000000"/>
        </w:rPr>
      </w:pPr>
      <w:r w:rsidRPr="00C40CAF">
        <w:rPr>
          <w:rFonts w:eastAsia="Calibri" w:cs="Times New Roman"/>
          <w:color w:val="000000"/>
        </w:rPr>
        <w:t>Available Funding: $2</w:t>
      </w:r>
      <w:r w:rsidR="00AE66C3">
        <w:rPr>
          <w:rFonts w:eastAsia="Calibri" w:cs="Times New Roman"/>
          <w:color w:val="000000"/>
        </w:rPr>
        <w:t>0</w:t>
      </w:r>
      <w:r w:rsidRPr="00C40CAF">
        <w:rPr>
          <w:rFonts w:eastAsia="Calibri" w:cs="Times New Roman"/>
          <w:color w:val="000000"/>
        </w:rPr>
        <w:t>,000,000</w:t>
      </w:r>
    </w:p>
    <w:p w14:paraId="0961C942" w14:textId="3855014E" w:rsidR="00A1481F" w:rsidRPr="00C40CAF" w:rsidRDefault="00A1481F" w:rsidP="00A1481F">
      <w:pPr>
        <w:pBdr>
          <w:top w:val="nil"/>
          <w:left w:val="nil"/>
          <w:bottom w:val="nil"/>
          <w:right w:val="nil"/>
          <w:between w:val="nil"/>
        </w:pBdr>
        <w:spacing w:after="240" w:line="240" w:lineRule="auto"/>
        <w:jc w:val="both"/>
        <w:rPr>
          <w:rFonts w:eastAsia="Calibri" w:cs="Times New Roman"/>
          <w:color w:val="000000"/>
        </w:rPr>
      </w:pPr>
      <w:r w:rsidRPr="00C40CAF">
        <w:rPr>
          <w:rFonts w:eastAsia="Calibri" w:cs="Times New Roman"/>
          <w:color w:val="000000"/>
        </w:rPr>
        <w:t>Eligible Activities:</w:t>
      </w:r>
    </w:p>
    <w:p w14:paraId="4AB02A29" w14:textId="075B21EB" w:rsidR="00616838" w:rsidRPr="00616838" w:rsidRDefault="00A1481F" w:rsidP="00616838">
      <w:pPr>
        <w:pStyle w:val="ListParagraph"/>
        <w:numPr>
          <w:ilvl w:val="0"/>
          <w:numId w:val="4"/>
        </w:numPr>
        <w:pBdr>
          <w:top w:val="nil"/>
          <w:left w:val="nil"/>
          <w:bottom w:val="nil"/>
          <w:right w:val="nil"/>
          <w:between w:val="nil"/>
        </w:pBdr>
        <w:spacing w:after="240" w:line="240" w:lineRule="auto"/>
        <w:jc w:val="both"/>
        <w:rPr>
          <w:rFonts w:eastAsia="Calibri" w:cs="Times New Roman"/>
          <w:color w:val="000000"/>
        </w:rPr>
      </w:pPr>
      <w:r w:rsidRPr="00C40CAF">
        <w:rPr>
          <w:rFonts w:eastAsia="Calibri" w:cs="Times New Roman"/>
          <w:color w:val="000000"/>
        </w:rPr>
        <w:t>Projects related to the resilient rebuilding of public infrastructure</w:t>
      </w:r>
      <w:r w:rsidR="00616838">
        <w:rPr>
          <w:rFonts w:eastAsia="Calibri" w:cs="Times New Roman"/>
          <w:color w:val="000000"/>
        </w:rPr>
        <w:t xml:space="preserve"> that ha</w:t>
      </w:r>
      <w:r w:rsidR="00070787">
        <w:rPr>
          <w:rFonts w:eastAsia="Calibri" w:cs="Times New Roman"/>
          <w:color w:val="000000"/>
        </w:rPr>
        <w:t>ve</w:t>
      </w:r>
      <w:r w:rsidR="00616838">
        <w:rPr>
          <w:rFonts w:eastAsia="Calibri" w:cs="Times New Roman"/>
          <w:color w:val="000000"/>
        </w:rPr>
        <w:t xml:space="preserve"> not received an award of federal funds or where federal funding requires a match or is insufficient to complete the project.</w:t>
      </w:r>
    </w:p>
    <w:p w14:paraId="54E7986B" w14:textId="411FA511" w:rsidR="00A1481F" w:rsidRPr="00C40CAF" w:rsidRDefault="00A1481F" w:rsidP="00A1481F">
      <w:pPr>
        <w:pBdr>
          <w:top w:val="nil"/>
          <w:left w:val="nil"/>
          <w:bottom w:val="nil"/>
          <w:right w:val="nil"/>
          <w:between w:val="nil"/>
        </w:pBdr>
        <w:spacing w:after="240" w:line="240" w:lineRule="auto"/>
        <w:jc w:val="both"/>
        <w:rPr>
          <w:rFonts w:eastAsia="Calibri" w:cs="Times New Roman"/>
          <w:color w:val="000000"/>
        </w:rPr>
      </w:pPr>
      <w:r w:rsidRPr="00C40CAF">
        <w:rPr>
          <w:rFonts w:eastAsia="Calibri" w:cs="Times New Roman"/>
          <w:color w:val="000000"/>
          <w:u w:val="single"/>
        </w:rPr>
        <w:t>Category 3</w:t>
      </w:r>
      <w:r w:rsidRPr="00C40CAF">
        <w:rPr>
          <w:rFonts w:eastAsia="Calibri" w:cs="Times New Roman"/>
          <w:color w:val="000000"/>
        </w:rPr>
        <w:t>: Loans to mobilize federal grants.</w:t>
      </w:r>
    </w:p>
    <w:p w14:paraId="51D4FBA0" w14:textId="18ED25FA" w:rsidR="00A1481F" w:rsidRPr="00C40CAF" w:rsidRDefault="00A1481F" w:rsidP="00A1481F">
      <w:pPr>
        <w:pBdr>
          <w:top w:val="nil"/>
          <w:left w:val="nil"/>
          <w:bottom w:val="nil"/>
          <w:right w:val="nil"/>
          <w:between w:val="nil"/>
        </w:pBdr>
        <w:spacing w:after="240" w:line="240" w:lineRule="auto"/>
        <w:jc w:val="both"/>
        <w:rPr>
          <w:rFonts w:eastAsia="Calibri" w:cs="Times New Roman"/>
          <w:color w:val="000000"/>
        </w:rPr>
      </w:pPr>
      <w:r w:rsidRPr="00C40CAF">
        <w:rPr>
          <w:rFonts w:eastAsia="Calibri" w:cs="Times New Roman"/>
          <w:color w:val="000000"/>
        </w:rPr>
        <w:t>Available Funding: $</w:t>
      </w:r>
      <w:r w:rsidR="00AE1468">
        <w:rPr>
          <w:rFonts w:eastAsia="Calibri" w:cs="Times New Roman"/>
          <w:color w:val="000000"/>
        </w:rPr>
        <w:t>2</w:t>
      </w:r>
      <w:r w:rsidRPr="00C40CAF">
        <w:rPr>
          <w:rFonts w:eastAsia="Calibri" w:cs="Times New Roman"/>
          <w:color w:val="000000"/>
        </w:rPr>
        <w:t>0,000,000</w:t>
      </w:r>
    </w:p>
    <w:p w14:paraId="3DE9D2B4" w14:textId="326E9933" w:rsidR="00A1481F" w:rsidRPr="00C40CAF" w:rsidRDefault="00A1481F" w:rsidP="00A1481F">
      <w:pPr>
        <w:pBdr>
          <w:top w:val="nil"/>
          <w:left w:val="nil"/>
          <w:bottom w:val="nil"/>
          <w:right w:val="nil"/>
          <w:between w:val="nil"/>
        </w:pBdr>
        <w:spacing w:after="240" w:line="240" w:lineRule="auto"/>
        <w:jc w:val="both"/>
        <w:rPr>
          <w:rFonts w:eastAsia="Calibri" w:cs="Times New Roman"/>
          <w:color w:val="000000"/>
        </w:rPr>
      </w:pPr>
      <w:r w:rsidRPr="00C40CAF">
        <w:rPr>
          <w:rFonts w:eastAsia="Calibri" w:cs="Times New Roman"/>
          <w:color w:val="000000"/>
        </w:rPr>
        <w:t>Eligible Activities:</w:t>
      </w:r>
    </w:p>
    <w:p w14:paraId="601AB0B4" w14:textId="40E48617" w:rsidR="00A1481F" w:rsidRPr="00C40CAF" w:rsidRDefault="00A1481F" w:rsidP="00A1481F">
      <w:pPr>
        <w:pStyle w:val="ListParagraph"/>
        <w:numPr>
          <w:ilvl w:val="0"/>
          <w:numId w:val="5"/>
        </w:numPr>
        <w:pBdr>
          <w:top w:val="nil"/>
          <w:left w:val="nil"/>
          <w:bottom w:val="nil"/>
          <w:right w:val="nil"/>
          <w:between w:val="nil"/>
        </w:pBdr>
        <w:spacing w:after="240" w:line="240" w:lineRule="auto"/>
        <w:jc w:val="both"/>
        <w:rPr>
          <w:rFonts w:eastAsia="Calibri" w:cs="Times New Roman"/>
          <w:color w:val="000000"/>
        </w:rPr>
      </w:pPr>
      <w:r w:rsidRPr="00C40CAF">
        <w:rPr>
          <w:rFonts w:eastAsia="Calibri" w:cs="Times New Roman"/>
          <w:color w:val="000000"/>
        </w:rPr>
        <w:t>Projects related to the resilient rebuilding of public infrastructure, for which an application for federal funding has been made and awarded.</w:t>
      </w:r>
    </w:p>
    <w:p w14:paraId="44716BB1" w14:textId="092C8871" w:rsidR="00A1481F" w:rsidRPr="00C40CAF" w:rsidRDefault="00A1481F" w:rsidP="3B025261">
      <w:pPr>
        <w:pBdr>
          <w:top w:val="nil"/>
          <w:left w:val="nil"/>
          <w:bottom w:val="nil"/>
          <w:right w:val="nil"/>
          <w:between w:val="nil"/>
        </w:pBdr>
        <w:spacing w:after="240" w:line="240" w:lineRule="auto"/>
        <w:jc w:val="both"/>
        <w:rPr>
          <w:rFonts w:eastAsia="Calibri" w:cs="Times New Roman"/>
          <w:color w:val="000000"/>
        </w:rPr>
      </w:pPr>
      <w:r w:rsidRPr="3B025261">
        <w:rPr>
          <w:rFonts w:eastAsia="Calibri" w:cs="Times New Roman"/>
          <w:color w:val="000000" w:themeColor="text1"/>
        </w:rPr>
        <w:t xml:space="preserve">Funds for this category will be established as a revolving line of credit at the Virginia Resources Authority and made available to eligible applicants who meet the criteria for this category as bridge loans to support eligible project costs.  Funds shall be paid back to the </w:t>
      </w:r>
      <w:r w:rsidRPr="3B025261">
        <w:rPr>
          <w:rFonts w:eastAsia="Calibri" w:cs="Times New Roman"/>
          <w:color w:val="000000" w:themeColor="text1"/>
        </w:rPr>
        <w:lastRenderedPageBreak/>
        <w:t>line of credit as they are subsequently received by applicants from the relevant federal agency.</w:t>
      </w:r>
    </w:p>
    <w:p w14:paraId="38174221" w14:textId="77777777" w:rsidR="00AB36FF" w:rsidRDefault="00AB36FF">
      <w:pPr>
        <w:rPr>
          <w:rFonts w:eastAsia="Calibri" w:cs="Times New Roman"/>
          <w:b/>
          <w:bCs/>
          <w:color w:val="000000"/>
          <w:u w:val="single"/>
        </w:rPr>
      </w:pPr>
      <w:r>
        <w:rPr>
          <w:rFonts w:eastAsia="Calibri" w:cs="Times New Roman"/>
          <w:b/>
          <w:bCs/>
          <w:color w:val="000000"/>
          <w:u w:val="single"/>
        </w:rPr>
        <w:br w:type="page"/>
      </w:r>
    </w:p>
    <w:p w14:paraId="52B702BD" w14:textId="1C4FAFC8" w:rsidR="00A1481F" w:rsidRPr="00C40CAF" w:rsidRDefault="00A1481F" w:rsidP="00A1481F">
      <w:pPr>
        <w:pBdr>
          <w:top w:val="nil"/>
          <w:left w:val="nil"/>
          <w:bottom w:val="nil"/>
          <w:right w:val="nil"/>
          <w:between w:val="nil"/>
        </w:pBdr>
        <w:spacing w:after="240" w:line="240" w:lineRule="auto"/>
        <w:jc w:val="both"/>
        <w:rPr>
          <w:rFonts w:eastAsia="Calibri" w:cs="Times New Roman"/>
          <w:b/>
          <w:bCs/>
          <w:color w:val="000000"/>
          <w:u w:val="single"/>
        </w:rPr>
      </w:pPr>
      <w:r w:rsidRPr="00C40CAF">
        <w:rPr>
          <w:rFonts w:eastAsia="Calibri" w:cs="Times New Roman"/>
          <w:b/>
          <w:bCs/>
          <w:color w:val="000000"/>
          <w:u w:val="single"/>
        </w:rPr>
        <w:lastRenderedPageBreak/>
        <w:t>Collection of Applications</w:t>
      </w:r>
      <w:r w:rsidR="00480FFA" w:rsidRPr="00C40CAF">
        <w:rPr>
          <w:rFonts w:eastAsia="Calibri" w:cs="Times New Roman"/>
          <w:b/>
          <w:bCs/>
          <w:color w:val="000000"/>
          <w:u w:val="single"/>
        </w:rPr>
        <w:t>, Evaluation, and Distribution of Funds</w:t>
      </w:r>
    </w:p>
    <w:p w14:paraId="7DF6D51A" w14:textId="22378472" w:rsidR="00A1481F" w:rsidRPr="00C40CAF" w:rsidRDefault="00480FFA" w:rsidP="00A1481F">
      <w:pPr>
        <w:pBdr>
          <w:top w:val="nil"/>
          <w:left w:val="nil"/>
          <w:bottom w:val="nil"/>
          <w:right w:val="nil"/>
          <w:between w:val="nil"/>
        </w:pBdr>
        <w:spacing w:after="240" w:line="240" w:lineRule="auto"/>
        <w:jc w:val="both"/>
        <w:rPr>
          <w:rFonts w:eastAsia="Calibri" w:cs="Times New Roman"/>
          <w:color w:val="000000"/>
        </w:rPr>
      </w:pPr>
      <w:r w:rsidRPr="00C40CAF">
        <w:rPr>
          <w:rFonts w:eastAsia="Calibri" w:cs="Times New Roman"/>
          <w:color w:val="000000"/>
        </w:rPr>
        <w:t>The Department intends for the Fund to work in tandem with related financial offerings made available by the Department of Housing and Community Development, the Virginia Department of Emergency Management, the Virginia Department of Environmental Quality, and others.  With this in mind, the Department may elect to collect applications through one of these agencies or another third party, or through a process that the Department establishes.</w:t>
      </w:r>
      <w:r w:rsidR="00A1481F" w:rsidRPr="00C40CAF">
        <w:rPr>
          <w:rFonts w:eastAsia="Calibri" w:cs="Times New Roman"/>
          <w:color w:val="000000"/>
        </w:rPr>
        <w:t xml:space="preserve">  </w:t>
      </w:r>
    </w:p>
    <w:p w14:paraId="5975748D" w14:textId="0A74193B" w:rsidR="00CD6F94" w:rsidRPr="00C40CAF" w:rsidRDefault="00CD6F94" w:rsidP="00A1481F">
      <w:pPr>
        <w:pBdr>
          <w:top w:val="nil"/>
          <w:left w:val="nil"/>
          <w:bottom w:val="nil"/>
          <w:right w:val="nil"/>
          <w:between w:val="nil"/>
        </w:pBdr>
        <w:spacing w:after="240" w:line="240" w:lineRule="auto"/>
        <w:jc w:val="both"/>
        <w:rPr>
          <w:rFonts w:eastAsia="Calibri" w:cs="Times New Roman"/>
          <w:i/>
          <w:iCs/>
          <w:color w:val="000000"/>
        </w:rPr>
      </w:pPr>
      <w:r w:rsidRPr="00C40CAF">
        <w:rPr>
          <w:rFonts w:eastAsia="Calibri" w:cs="Times New Roman"/>
          <w:color w:val="000000"/>
        </w:rPr>
        <w:t xml:space="preserve">The Department will begin accepting and considering applications on </w:t>
      </w:r>
      <w:r w:rsidRPr="009A4029">
        <w:rPr>
          <w:rFonts w:eastAsia="Calibri" w:cs="Times New Roman"/>
          <w:color w:val="000000"/>
          <w:highlight w:val="yellow"/>
        </w:rPr>
        <w:t>DATE</w:t>
      </w:r>
      <w:r w:rsidRPr="00C40CAF">
        <w:rPr>
          <w:rFonts w:eastAsia="Calibri" w:cs="Times New Roman"/>
          <w:color w:val="000000"/>
        </w:rPr>
        <w:t xml:space="preserve"> and will accept applications through at least </w:t>
      </w:r>
      <w:r w:rsidRPr="009A4029">
        <w:rPr>
          <w:rFonts w:eastAsia="Calibri" w:cs="Times New Roman"/>
          <w:color w:val="000000"/>
          <w:highlight w:val="yellow"/>
        </w:rPr>
        <w:t>DATE</w:t>
      </w:r>
      <w:r w:rsidRPr="00C40CAF">
        <w:rPr>
          <w:rFonts w:eastAsia="Calibri" w:cs="Times New Roman"/>
          <w:color w:val="000000"/>
        </w:rPr>
        <w:t xml:space="preserve">, or until available funds are exhausted. </w:t>
      </w:r>
      <w:r w:rsidRPr="00921174">
        <w:rPr>
          <w:rFonts w:eastAsia="Calibri" w:cs="Times New Roman"/>
          <w:i/>
          <w:iCs/>
          <w:color w:val="000000"/>
          <w:highlight w:val="yellow"/>
        </w:rPr>
        <w:t>(Dates will be established in the final Fund offering document</w:t>
      </w:r>
      <w:r w:rsidR="009A4029" w:rsidRPr="00921174">
        <w:rPr>
          <w:rFonts w:eastAsia="Calibri" w:cs="Times New Roman"/>
          <w:i/>
          <w:iCs/>
          <w:color w:val="000000"/>
          <w:highlight w:val="yellow"/>
        </w:rPr>
        <w:t>)</w:t>
      </w:r>
    </w:p>
    <w:p w14:paraId="12E24A26" w14:textId="60EC20FB" w:rsidR="00480FFA" w:rsidRPr="00C40CAF" w:rsidRDefault="00480FFA" w:rsidP="00A1481F">
      <w:pPr>
        <w:pBdr>
          <w:top w:val="nil"/>
          <w:left w:val="nil"/>
          <w:bottom w:val="nil"/>
          <w:right w:val="nil"/>
          <w:between w:val="nil"/>
        </w:pBdr>
        <w:spacing w:after="240" w:line="240" w:lineRule="auto"/>
        <w:jc w:val="both"/>
        <w:rPr>
          <w:rFonts w:eastAsia="Calibri" w:cs="Times New Roman"/>
        </w:rPr>
      </w:pPr>
      <w:r w:rsidRPr="00C40CAF">
        <w:rPr>
          <w:rFonts w:eastAsia="Calibri" w:cs="Times New Roman"/>
          <w:color w:val="000000"/>
        </w:rPr>
        <w:t xml:space="preserve">The Department will evaluate applications in a manner prescribed by statute based on </w:t>
      </w:r>
      <w:r w:rsidRPr="00C40CAF">
        <w:rPr>
          <w:rFonts w:eastAsia="Calibri" w:cs="Times New Roman"/>
        </w:rPr>
        <w:t xml:space="preserve">need, impact, cost-effectiveness, and other relevant criteria.  </w:t>
      </w:r>
      <w:r w:rsidR="007C308C">
        <w:rPr>
          <w:rFonts w:eastAsia="Calibri" w:cs="Times New Roman"/>
        </w:rPr>
        <w:t xml:space="preserve">Evaluation criteria will be published prior to the opening of the funding round.  </w:t>
      </w:r>
      <w:r w:rsidRPr="00C40CAF">
        <w:rPr>
          <w:rFonts w:eastAsia="Calibri" w:cs="Times New Roman"/>
        </w:rPr>
        <w:t>Applications will be collected and awarded on a rolling basis.</w:t>
      </w:r>
    </w:p>
    <w:p w14:paraId="079F3263" w14:textId="3EFDC4CA" w:rsidR="00480FFA" w:rsidRPr="00C40CAF" w:rsidRDefault="007C308C" w:rsidP="00A1481F">
      <w:pPr>
        <w:pBdr>
          <w:top w:val="nil"/>
          <w:left w:val="nil"/>
          <w:bottom w:val="nil"/>
          <w:right w:val="nil"/>
          <w:between w:val="nil"/>
        </w:pBdr>
        <w:spacing w:after="240" w:line="240" w:lineRule="auto"/>
        <w:jc w:val="both"/>
        <w:rPr>
          <w:rFonts w:eastAsia="Calibri" w:cs="Times New Roman"/>
        </w:rPr>
      </w:pPr>
      <w:r>
        <w:rPr>
          <w:rFonts w:eastAsia="Calibri" w:cs="Times New Roman"/>
        </w:rPr>
        <w:t>Grant f</w:t>
      </w:r>
      <w:r w:rsidR="00480FFA" w:rsidRPr="00C40CAF">
        <w:rPr>
          <w:rFonts w:eastAsia="Calibri" w:cs="Times New Roman"/>
        </w:rPr>
        <w:t>unds will be provided to applicants on a reimbursement basis according to a schedule established by the Department.</w:t>
      </w:r>
    </w:p>
    <w:p w14:paraId="3AF499A2" w14:textId="3BDD46C9" w:rsidR="00480FFA" w:rsidRPr="00C40CAF" w:rsidRDefault="00480FFA" w:rsidP="00A1481F">
      <w:pPr>
        <w:pBdr>
          <w:top w:val="nil"/>
          <w:left w:val="nil"/>
          <w:bottom w:val="nil"/>
          <w:right w:val="nil"/>
          <w:between w:val="nil"/>
        </w:pBdr>
        <w:spacing w:after="240" w:line="240" w:lineRule="auto"/>
        <w:jc w:val="both"/>
        <w:rPr>
          <w:rFonts w:eastAsia="Calibri" w:cs="Times New Roman"/>
          <w:b/>
          <w:bCs/>
          <w:u w:val="single"/>
        </w:rPr>
      </w:pPr>
      <w:r w:rsidRPr="00C40CAF">
        <w:rPr>
          <w:rFonts w:eastAsia="Calibri" w:cs="Times New Roman"/>
          <w:b/>
          <w:bCs/>
          <w:u w:val="single"/>
        </w:rPr>
        <w:t>General Provisions</w:t>
      </w:r>
    </w:p>
    <w:p w14:paraId="519F83AF" w14:textId="26EBF3D9" w:rsidR="004C1237" w:rsidRPr="004C1237" w:rsidRDefault="00480FFA" w:rsidP="004C1237">
      <w:pPr>
        <w:pBdr>
          <w:top w:val="nil"/>
          <w:left w:val="nil"/>
          <w:bottom w:val="nil"/>
          <w:right w:val="nil"/>
          <w:between w:val="nil"/>
        </w:pBdr>
        <w:spacing w:after="240" w:line="240" w:lineRule="auto"/>
        <w:jc w:val="both"/>
        <w:rPr>
          <w:rFonts w:eastAsia="Calibri" w:cs="Times New Roman"/>
          <w:color w:val="000000"/>
        </w:rPr>
      </w:pPr>
      <w:r w:rsidRPr="00C40CAF">
        <w:rPr>
          <w:rFonts w:eastAsia="Calibri" w:cs="Times New Roman"/>
          <w:color w:val="000000"/>
        </w:rPr>
        <w:t>Successful applicants will be required to enter into a Memorandum of Agreement (MOA) with the Department, the Authority, and other parties as may be appropriate.  This MOA will include the amount of funding to be provided, the activities that are anticipated to be funded, and the duration of the period of performance, and other relevant agreements</w:t>
      </w:r>
      <w:r w:rsidR="00CD6F94" w:rsidRPr="00C40CAF">
        <w:rPr>
          <w:rFonts w:eastAsia="Calibri" w:cs="Times New Roman"/>
          <w:color w:val="000000"/>
        </w:rPr>
        <w:t>, requirements, and restrictions</w:t>
      </w:r>
      <w:r w:rsidRPr="00C40CAF">
        <w:rPr>
          <w:rFonts w:eastAsia="Calibri" w:cs="Times New Roman"/>
          <w:color w:val="000000"/>
        </w:rPr>
        <w:t>.</w:t>
      </w:r>
      <w:r w:rsidR="00631F2B">
        <w:rPr>
          <w:rFonts w:eastAsia="Calibri" w:cs="Times New Roman"/>
          <w:color w:val="000000"/>
        </w:rPr>
        <w:t xml:space="preserve">  </w:t>
      </w:r>
      <w:r w:rsidR="004C1237" w:rsidRPr="004C1237">
        <w:rPr>
          <w:rFonts w:eastAsia="Calibri" w:cs="Times New Roman"/>
          <w:color w:val="000000"/>
        </w:rPr>
        <w:t xml:space="preserve">In the case of a loan from the Fund, the </w:t>
      </w:r>
      <w:r w:rsidR="004C1237">
        <w:rPr>
          <w:rFonts w:eastAsia="Calibri" w:cs="Times New Roman"/>
          <w:color w:val="000000"/>
        </w:rPr>
        <w:t>applicant</w:t>
      </w:r>
      <w:r w:rsidR="004C1237" w:rsidRPr="004C1237">
        <w:rPr>
          <w:rFonts w:eastAsia="Calibri" w:cs="Times New Roman"/>
          <w:color w:val="000000"/>
        </w:rPr>
        <w:t xml:space="preserve"> will be expected to enter into a loan agreement with VRA, as </w:t>
      </w:r>
      <w:r w:rsidR="004C1237">
        <w:rPr>
          <w:rFonts w:eastAsia="Calibri" w:cs="Times New Roman"/>
          <w:color w:val="000000"/>
        </w:rPr>
        <w:t>a</w:t>
      </w:r>
      <w:r w:rsidR="004C1237" w:rsidRPr="004C1237">
        <w:rPr>
          <w:rFonts w:eastAsia="Calibri" w:cs="Times New Roman"/>
          <w:color w:val="000000"/>
        </w:rPr>
        <w:t xml:space="preserve">dministrator of the Fund, which agreement will outline the conditions and requirements for loan closing as well as any ongoing financial and operating covenants.  The loan will be evidenced by a debt instrument authorized and issued by the governing body of the </w:t>
      </w:r>
      <w:r w:rsidR="004C1237">
        <w:rPr>
          <w:rFonts w:eastAsia="Calibri" w:cs="Times New Roman"/>
          <w:color w:val="000000"/>
        </w:rPr>
        <w:t>applicant</w:t>
      </w:r>
      <w:r w:rsidR="004C1237" w:rsidRPr="004C1237">
        <w:rPr>
          <w:rFonts w:eastAsia="Calibri" w:cs="Times New Roman"/>
          <w:color w:val="000000"/>
        </w:rPr>
        <w:t xml:space="preserve">. Standard opinions of bond and borrower counsel will be required as a condition for loan closing. </w:t>
      </w:r>
    </w:p>
    <w:p w14:paraId="71E2E11D" w14:textId="4F83844A" w:rsidR="00480FFA" w:rsidRPr="00480FFA" w:rsidRDefault="00480FFA" w:rsidP="00480FFA">
      <w:pPr>
        <w:pBdr>
          <w:top w:val="nil"/>
          <w:left w:val="nil"/>
          <w:bottom w:val="nil"/>
          <w:right w:val="nil"/>
          <w:between w:val="nil"/>
        </w:pBdr>
        <w:spacing w:after="240" w:line="240" w:lineRule="auto"/>
        <w:jc w:val="both"/>
        <w:rPr>
          <w:rFonts w:eastAsia="Calibri" w:cs="Times New Roman"/>
          <w:color w:val="000000"/>
        </w:rPr>
      </w:pPr>
      <w:r w:rsidRPr="00480FFA">
        <w:rPr>
          <w:rFonts w:eastAsia="Calibri" w:cs="Times New Roman"/>
          <w:color w:val="000000"/>
        </w:rPr>
        <w:t xml:space="preserve">The Department and the </w:t>
      </w:r>
      <w:r w:rsidR="00CD6F94" w:rsidRPr="00C40CAF">
        <w:rPr>
          <w:rFonts w:eastAsia="Calibri" w:cs="Times New Roman"/>
          <w:color w:val="000000"/>
        </w:rPr>
        <w:t>Authority</w:t>
      </w:r>
      <w:r w:rsidRPr="00480FFA">
        <w:rPr>
          <w:rFonts w:eastAsia="Calibri" w:cs="Times New Roman"/>
          <w:color w:val="000000"/>
        </w:rPr>
        <w:t xml:space="preserve"> reserve the right to provide funding at a level less than requested by the applicant, or to refuse to fund an applicant’s request. </w:t>
      </w:r>
    </w:p>
    <w:p w14:paraId="46EDA706" w14:textId="7F96B74E" w:rsidR="004A409C" w:rsidRPr="00C40CAF" w:rsidRDefault="00480FFA" w:rsidP="00CD6F94">
      <w:pPr>
        <w:pBdr>
          <w:top w:val="nil"/>
          <w:left w:val="nil"/>
          <w:bottom w:val="nil"/>
          <w:right w:val="nil"/>
          <w:between w:val="nil"/>
        </w:pBdr>
        <w:spacing w:after="240" w:line="240" w:lineRule="auto"/>
        <w:jc w:val="both"/>
        <w:rPr>
          <w:rFonts w:eastAsia="Calibri" w:cs="Times New Roman"/>
          <w:color w:val="000000"/>
        </w:rPr>
      </w:pPr>
      <w:r w:rsidRPr="00480FFA">
        <w:rPr>
          <w:rFonts w:eastAsia="Calibri" w:cs="Times New Roman"/>
          <w:color w:val="000000"/>
        </w:rPr>
        <w:t xml:space="preserve">The Department further reserves the right </w:t>
      </w:r>
      <w:r w:rsidR="00CD6F94" w:rsidRPr="00C40CAF">
        <w:rPr>
          <w:rFonts w:eastAsia="Calibri" w:cs="Times New Roman"/>
          <w:color w:val="000000"/>
        </w:rPr>
        <w:t>to release additional funding for any of the Categories in this Notice based on need and demand, and to extend the date through which applications for this round will be accepted.</w:t>
      </w:r>
    </w:p>
    <w:p w14:paraId="2FDB0F95" w14:textId="77777777" w:rsidR="00C40CAF" w:rsidRPr="00C40CAF" w:rsidRDefault="00C40CAF" w:rsidP="00C40CAF">
      <w:pPr>
        <w:pBdr>
          <w:top w:val="nil"/>
          <w:left w:val="nil"/>
          <w:bottom w:val="nil"/>
          <w:right w:val="nil"/>
          <w:between w:val="nil"/>
        </w:pBdr>
        <w:spacing w:after="240" w:line="240" w:lineRule="auto"/>
        <w:jc w:val="both"/>
        <w:rPr>
          <w:rFonts w:eastAsia="Calibri" w:cs="Times New Roman"/>
        </w:rPr>
      </w:pPr>
      <w:r w:rsidRPr="00C40CAF">
        <w:rPr>
          <w:rFonts w:eastAsia="Calibri" w:cs="Times New Roman"/>
          <w:b/>
          <w:i/>
        </w:rPr>
        <w:t>General Application Inquiries</w:t>
      </w:r>
      <w:r w:rsidRPr="00C40CAF">
        <w:rPr>
          <w:rFonts w:eastAsia="Calibri" w:cs="Times New Roman"/>
          <w:b/>
        </w:rPr>
        <w:t>:</w:t>
      </w:r>
      <w:r w:rsidRPr="00C40CAF">
        <w:rPr>
          <w:rFonts w:eastAsia="Calibri" w:cs="Times New Roman"/>
        </w:rPr>
        <w:t xml:space="preserve"> For any questions regarding the application process, please contact the Department of Conservation and Recreation, Division of Floodplain Management at:</w:t>
      </w:r>
    </w:p>
    <w:p w14:paraId="0DFA6C77" w14:textId="214B205C" w:rsidR="00933D0B" w:rsidRDefault="00C40CAF" w:rsidP="00BA2E40">
      <w:pPr>
        <w:pBdr>
          <w:top w:val="nil"/>
          <w:left w:val="nil"/>
          <w:bottom w:val="nil"/>
          <w:right w:val="nil"/>
          <w:between w:val="nil"/>
        </w:pBdr>
        <w:spacing w:after="240" w:line="240" w:lineRule="auto"/>
        <w:jc w:val="both"/>
      </w:pPr>
      <w:r w:rsidRPr="00C40CAF">
        <w:rPr>
          <w:rFonts w:eastAsia="Calibri" w:cs="Times New Roman"/>
        </w:rPr>
        <w:t xml:space="preserve">(804) 371-6095 or via email at </w:t>
      </w:r>
      <w:hyperlink r:id="rId11">
        <w:r w:rsidRPr="00C40CAF">
          <w:rPr>
            <w:rStyle w:val="Hyperlink"/>
            <w:rFonts w:eastAsia="Calibri" w:cs="Times New Roman"/>
          </w:rPr>
          <w:t>cfpf@dcr.virginia.gov</w:t>
        </w:r>
      </w:hyperlink>
    </w:p>
    <w:p w14:paraId="6FC1849D" w14:textId="77777777" w:rsidR="00D54D00" w:rsidRPr="00111231" w:rsidRDefault="00D54D00" w:rsidP="00D54D00">
      <w:pPr>
        <w:rPr>
          <w:b/>
          <w:bCs/>
        </w:rPr>
      </w:pPr>
      <w:r w:rsidRPr="00111231">
        <w:rPr>
          <w:b/>
          <w:bCs/>
        </w:rPr>
        <w:lastRenderedPageBreak/>
        <w:t>Resilient Virginia Revolving Loan Fund 2025</w:t>
      </w:r>
    </w:p>
    <w:p w14:paraId="6E097ED5" w14:textId="77777777" w:rsidR="00D54D00" w:rsidRPr="00111231" w:rsidRDefault="00D54D00" w:rsidP="00D54D00">
      <w:pPr>
        <w:rPr>
          <w:b/>
          <w:bCs/>
        </w:rPr>
      </w:pPr>
      <w:r w:rsidRPr="00111231">
        <w:rPr>
          <w:b/>
          <w:bCs/>
        </w:rPr>
        <w:t>Appendix A</w:t>
      </w:r>
      <w:r>
        <w:rPr>
          <w:b/>
          <w:bCs/>
        </w:rPr>
        <w:t xml:space="preserve"> – Eligible Localities based on Disaster Declarations 4831 and 4863</w:t>
      </w:r>
    </w:p>
    <w:p w14:paraId="4430159A" w14:textId="77777777" w:rsidR="00D54D00" w:rsidRDefault="00D54D00" w:rsidP="00BA2E40">
      <w:pPr>
        <w:pBdr>
          <w:top w:val="nil"/>
          <w:left w:val="nil"/>
          <w:bottom w:val="nil"/>
          <w:right w:val="nil"/>
          <w:between w:val="nil"/>
        </w:pBdr>
        <w:spacing w:after="240" w:line="240" w:lineRule="auto"/>
        <w:jc w:val="both"/>
        <w:rPr>
          <w:rFonts w:eastAsia="Calibri" w:cs="Times New Roman"/>
        </w:rPr>
      </w:pPr>
    </w:p>
    <w:p w14:paraId="10C88984" w14:textId="77777777" w:rsidR="00D54D00" w:rsidRDefault="00D54D00" w:rsidP="00BA2E40">
      <w:pPr>
        <w:pBdr>
          <w:top w:val="nil"/>
          <w:left w:val="nil"/>
          <w:bottom w:val="nil"/>
          <w:right w:val="nil"/>
          <w:between w:val="nil"/>
        </w:pBdr>
        <w:spacing w:after="240" w:line="240" w:lineRule="auto"/>
        <w:jc w:val="both"/>
        <w:rPr>
          <w:rFonts w:eastAsia="Calibri" w:cs="Times New Roman"/>
        </w:rPr>
      </w:pPr>
    </w:p>
    <w:p w14:paraId="395A326B" w14:textId="77777777" w:rsidR="00D54D00" w:rsidRDefault="00D54D00" w:rsidP="00BA2E40">
      <w:pPr>
        <w:pBdr>
          <w:top w:val="nil"/>
          <w:left w:val="nil"/>
          <w:bottom w:val="nil"/>
          <w:right w:val="nil"/>
          <w:between w:val="nil"/>
        </w:pBdr>
        <w:spacing w:after="240" w:line="240" w:lineRule="auto"/>
        <w:jc w:val="both"/>
        <w:rPr>
          <w:rFonts w:eastAsia="Calibri" w:cs="Times New Roman"/>
        </w:rPr>
      </w:pPr>
    </w:p>
    <w:p w14:paraId="2AB9B61E" w14:textId="77777777" w:rsidR="00D54D00" w:rsidRDefault="00D54D00" w:rsidP="00BA2E40">
      <w:pPr>
        <w:pBdr>
          <w:top w:val="nil"/>
          <w:left w:val="nil"/>
          <w:bottom w:val="nil"/>
          <w:right w:val="nil"/>
          <w:between w:val="nil"/>
        </w:pBdr>
        <w:spacing w:after="240" w:line="240" w:lineRule="auto"/>
        <w:jc w:val="both"/>
        <w:rPr>
          <w:rFonts w:eastAsia="Calibri" w:cs="Times New Roman"/>
        </w:rPr>
      </w:pPr>
    </w:p>
    <w:p w14:paraId="74410781" w14:textId="77777777" w:rsidR="00D54D00" w:rsidRDefault="00D54D00" w:rsidP="00BA2E40">
      <w:pPr>
        <w:pBdr>
          <w:top w:val="nil"/>
          <w:left w:val="nil"/>
          <w:bottom w:val="nil"/>
          <w:right w:val="nil"/>
          <w:between w:val="nil"/>
        </w:pBdr>
        <w:spacing w:after="240" w:line="240" w:lineRule="auto"/>
        <w:jc w:val="both"/>
        <w:rPr>
          <w:rFonts w:eastAsia="Calibri" w:cs="Times New Roman"/>
        </w:rPr>
      </w:pPr>
    </w:p>
    <w:p w14:paraId="4089AD42" w14:textId="77777777" w:rsidR="00D54D00" w:rsidRDefault="00D54D00" w:rsidP="00BA2E40">
      <w:pPr>
        <w:pBdr>
          <w:top w:val="nil"/>
          <w:left w:val="nil"/>
          <w:bottom w:val="nil"/>
          <w:right w:val="nil"/>
          <w:between w:val="nil"/>
        </w:pBdr>
        <w:spacing w:after="240" w:line="240" w:lineRule="auto"/>
        <w:jc w:val="both"/>
        <w:rPr>
          <w:rFonts w:eastAsia="Calibri" w:cs="Times New Roman"/>
        </w:rPr>
      </w:pPr>
    </w:p>
    <w:p w14:paraId="335D837B" w14:textId="77777777" w:rsidR="00D54D00" w:rsidRDefault="00D54D00" w:rsidP="00BA2E40">
      <w:pPr>
        <w:pBdr>
          <w:top w:val="nil"/>
          <w:left w:val="nil"/>
          <w:bottom w:val="nil"/>
          <w:right w:val="nil"/>
          <w:between w:val="nil"/>
        </w:pBdr>
        <w:spacing w:after="240" w:line="240" w:lineRule="auto"/>
        <w:jc w:val="both"/>
        <w:rPr>
          <w:rFonts w:eastAsia="Calibri" w:cs="Times New Roman"/>
        </w:rPr>
      </w:pPr>
    </w:p>
    <w:p w14:paraId="3614608F" w14:textId="77777777" w:rsidR="00D54D00" w:rsidRDefault="00D54D00" w:rsidP="00BA2E40">
      <w:pPr>
        <w:pBdr>
          <w:top w:val="nil"/>
          <w:left w:val="nil"/>
          <w:bottom w:val="nil"/>
          <w:right w:val="nil"/>
          <w:between w:val="nil"/>
        </w:pBdr>
        <w:spacing w:after="240" w:line="240" w:lineRule="auto"/>
        <w:jc w:val="both"/>
        <w:rPr>
          <w:rFonts w:eastAsia="Calibri" w:cs="Times New Roman"/>
        </w:rPr>
      </w:pPr>
    </w:p>
    <w:p w14:paraId="2C369702" w14:textId="77777777" w:rsidR="00D54D00" w:rsidRDefault="00D54D00" w:rsidP="00BA2E40">
      <w:pPr>
        <w:pBdr>
          <w:top w:val="nil"/>
          <w:left w:val="nil"/>
          <w:bottom w:val="nil"/>
          <w:right w:val="nil"/>
          <w:between w:val="nil"/>
        </w:pBdr>
        <w:spacing w:after="240" w:line="240" w:lineRule="auto"/>
        <w:jc w:val="both"/>
        <w:rPr>
          <w:rFonts w:eastAsia="Calibri" w:cs="Times New Roman"/>
        </w:rPr>
      </w:pPr>
    </w:p>
    <w:p w14:paraId="0C6411B3" w14:textId="77777777" w:rsidR="00D54D00" w:rsidRDefault="00D54D00" w:rsidP="00BA2E40">
      <w:pPr>
        <w:pBdr>
          <w:top w:val="nil"/>
          <w:left w:val="nil"/>
          <w:bottom w:val="nil"/>
          <w:right w:val="nil"/>
          <w:between w:val="nil"/>
        </w:pBdr>
        <w:spacing w:after="240" w:line="240" w:lineRule="auto"/>
        <w:jc w:val="both"/>
        <w:rPr>
          <w:rFonts w:eastAsia="Calibri" w:cs="Times New Roman"/>
        </w:rPr>
      </w:pPr>
    </w:p>
    <w:p w14:paraId="2363CC2C" w14:textId="77777777" w:rsidR="00D54D00" w:rsidRDefault="00D54D00" w:rsidP="00BA2E40">
      <w:pPr>
        <w:pBdr>
          <w:top w:val="nil"/>
          <w:left w:val="nil"/>
          <w:bottom w:val="nil"/>
          <w:right w:val="nil"/>
          <w:between w:val="nil"/>
        </w:pBdr>
        <w:spacing w:after="240" w:line="240" w:lineRule="auto"/>
        <w:jc w:val="both"/>
        <w:rPr>
          <w:rFonts w:eastAsia="Calibri" w:cs="Times New Roman"/>
        </w:rPr>
      </w:pPr>
    </w:p>
    <w:p w14:paraId="7ACC596E" w14:textId="77777777" w:rsidR="00D54D00" w:rsidRDefault="00D54D00" w:rsidP="00BA2E40">
      <w:pPr>
        <w:pBdr>
          <w:top w:val="nil"/>
          <w:left w:val="nil"/>
          <w:bottom w:val="nil"/>
          <w:right w:val="nil"/>
          <w:between w:val="nil"/>
        </w:pBdr>
        <w:spacing w:after="240" w:line="240" w:lineRule="auto"/>
        <w:jc w:val="both"/>
        <w:rPr>
          <w:rFonts w:eastAsia="Calibri" w:cs="Times New Roman"/>
        </w:rPr>
      </w:pPr>
    </w:p>
    <w:p w14:paraId="040D4D5F" w14:textId="77777777" w:rsidR="00D54D00" w:rsidRDefault="00D54D00" w:rsidP="00BA2E40">
      <w:pPr>
        <w:pBdr>
          <w:top w:val="nil"/>
          <w:left w:val="nil"/>
          <w:bottom w:val="nil"/>
          <w:right w:val="nil"/>
          <w:between w:val="nil"/>
        </w:pBdr>
        <w:spacing w:after="240" w:line="240" w:lineRule="auto"/>
        <w:jc w:val="both"/>
        <w:rPr>
          <w:rFonts w:eastAsia="Calibri" w:cs="Times New Roman"/>
        </w:rPr>
      </w:pPr>
    </w:p>
    <w:p w14:paraId="6689660A" w14:textId="77777777" w:rsidR="00D54D00" w:rsidRDefault="00D54D00" w:rsidP="00BA2E40">
      <w:pPr>
        <w:pBdr>
          <w:top w:val="nil"/>
          <w:left w:val="nil"/>
          <w:bottom w:val="nil"/>
          <w:right w:val="nil"/>
          <w:between w:val="nil"/>
        </w:pBdr>
        <w:spacing w:after="240" w:line="240" w:lineRule="auto"/>
        <w:jc w:val="both"/>
        <w:rPr>
          <w:rFonts w:eastAsia="Calibri" w:cs="Times New Roman"/>
        </w:rPr>
      </w:pPr>
    </w:p>
    <w:p w14:paraId="1CE57CB1" w14:textId="77777777" w:rsidR="00D54D00" w:rsidRDefault="00D54D00" w:rsidP="00BA2E40">
      <w:pPr>
        <w:pBdr>
          <w:top w:val="nil"/>
          <w:left w:val="nil"/>
          <w:bottom w:val="nil"/>
          <w:right w:val="nil"/>
          <w:between w:val="nil"/>
        </w:pBdr>
        <w:spacing w:after="240" w:line="240" w:lineRule="auto"/>
        <w:jc w:val="both"/>
        <w:rPr>
          <w:rFonts w:eastAsia="Calibri" w:cs="Times New Roman"/>
        </w:rPr>
      </w:pPr>
    </w:p>
    <w:p w14:paraId="6DC57C01" w14:textId="77777777" w:rsidR="00D54D00" w:rsidRDefault="00D54D00" w:rsidP="00BA2E40">
      <w:pPr>
        <w:pBdr>
          <w:top w:val="nil"/>
          <w:left w:val="nil"/>
          <w:bottom w:val="nil"/>
          <w:right w:val="nil"/>
          <w:between w:val="nil"/>
        </w:pBdr>
        <w:spacing w:after="240" w:line="240" w:lineRule="auto"/>
        <w:jc w:val="both"/>
        <w:rPr>
          <w:rFonts w:eastAsia="Calibri" w:cs="Times New Roman"/>
        </w:rPr>
      </w:pPr>
    </w:p>
    <w:p w14:paraId="5EE087C5" w14:textId="77777777" w:rsidR="00D54D00" w:rsidRDefault="00D54D00" w:rsidP="00BA2E40">
      <w:pPr>
        <w:pBdr>
          <w:top w:val="nil"/>
          <w:left w:val="nil"/>
          <w:bottom w:val="nil"/>
          <w:right w:val="nil"/>
          <w:between w:val="nil"/>
        </w:pBdr>
        <w:spacing w:after="240" w:line="240" w:lineRule="auto"/>
        <w:jc w:val="both"/>
        <w:rPr>
          <w:rFonts w:eastAsia="Calibri" w:cs="Times New Roman"/>
        </w:rPr>
      </w:pPr>
    </w:p>
    <w:p w14:paraId="402AF6F6" w14:textId="77777777" w:rsidR="00D54D00" w:rsidRDefault="00D54D00" w:rsidP="00BA2E40">
      <w:pPr>
        <w:pBdr>
          <w:top w:val="nil"/>
          <w:left w:val="nil"/>
          <w:bottom w:val="nil"/>
          <w:right w:val="nil"/>
          <w:between w:val="nil"/>
        </w:pBdr>
        <w:spacing w:after="240" w:line="240" w:lineRule="auto"/>
        <w:jc w:val="both"/>
        <w:rPr>
          <w:rFonts w:eastAsia="Calibri" w:cs="Times New Roman"/>
        </w:rPr>
      </w:pPr>
    </w:p>
    <w:p w14:paraId="7E825CA0" w14:textId="77777777" w:rsidR="00D54D00" w:rsidRDefault="00D54D00" w:rsidP="00BA2E40">
      <w:pPr>
        <w:pBdr>
          <w:top w:val="nil"/>
          <w:left w:val="nil"/>
          <w:bottom w:val="nil"/>
          <w:right w:val="nil"/>
          <w:between w:val="nil"/>
        </w:pBdr>
        <w:spacing w:after="240" w:line="240" w:lineRule="auto"/>
        <w:jc w:val="both"/>
        <w:rPr>
          <w:rFonts w:eastAsia="Calibri" w:cs="Times New Roman"/>
        </w:rPr>
      </w:pPr>
    </w:p>
    <w:p w14:paraId="2813370F" w14:textId="77777777" w:rsidR="00D54D00" w:rsidRDefault="00D54D00" w:rsidP="00BA2E40">
      <w:pPr>
        <w:pBdr>
          <w:top w:val="nil"/>
          <w:left w:val="nil"/>
          <w:bottom w:val="nil"/>
          <w:right w:val="nil"/>
          <w:between w:val="nil"/>
        </w:pBdr>
        <w:spacing w:after="240" w:line="240" w:lineRule="auto"/>
        <w:jc w:val="both"/>
        <w:rPr>
          <w:rFonts w:eastAsia="Calibri" w:cs="Times New Roman"/>
        </w:rPr>
      </w:pPr>
    </w:p>
    <w:p w14:paraId="5A466BB9" w14:textId="77777777" w:rsidR="00D54D00" w:rsidRDefault="00D54D00" w:rsidP="00BA2E40">
      <w:pPr>
        <w:pBdr>
          <w:top w:val="nil"/>
          <w:left w:val="nil"/>
          <w:bottom w:val="nil"/>
          <w:right w:val="nil"/>
          <w:between w:val="nil"/>
        </w:pBdr>
        <w:spacing w:after="240" w:line="240" w:lineRule="auto"/>
        <w:jc w:val="both"/>
        <w:rPr>
          <w:rFonts w:eastAsia="Calibri" w:cs="Times New Roman"/>
        </w:rPr>
      </w:pPr>
    </w:p>
    <w:p w14:paraId="3131F02E" w14:textId="77777777" w:rsidR="00D54D00" w:rsidRDefault="00D54D00" w:rsidP="00BA2E40">
      <w:pPr>
        <w:pBdr>
          <w:top w:val="nil"/>
          <w:left w:val="nil"/>
          <w:bottom w:val="nil"/>
          <w:right w:val="nil"/>
          <w:between w:val="nil"/>
        </w:pBdr>
        <w:spacing w:after="240" w:line="240" w:lineRule="auto"/>
        <w:jc w:val="both"/>
        <w:rPr>
          <w:rFonts w:eastAsia="Calibri" w:cs="Times New Roman"/>
        </w:rPr>
      </w:pPr>
    </w:p>
    <w:p w14:paraId="25FD52E4" w14:textId="514409A6" w:rsidR="00D54D00" w:rsidRDefault="00D54D00" w:rsidP="00BA2E40">
      <w:pPr>
        <w:pBdr>
          <w:top w:val="nil"/>
          <w:left w:val="nil"/>
          <w:bottom w:val="nil"/>
          <w:right w:val="nil"/>
          <w:between w:val="nil"/>
        </w:pBdr>
        <w:spacing w:after="240" w:line="240" w:lineRule="auto"/>
        <w:jc w:val="both"/>
        <w:rPr>
          <w:noProof/>
        </w:rPr>
      </w:pPr>
      <w:r w:rsidRPr="00111231">
        <w:rPr>
          <w:noProof/>
        </w:rPr>
        <w:lastRenderedPageBreak/>
        <w:drawing>
          <wp:anchor distT="0" distB="0" distL="114300" distR="114300" simplePos="0" relativeHeight="251658240" behindDoc="0" locked="0" layoutInCell="1" allowOverlap="1" wp14:anchorId="0FDB10B6" wp14:editId="50E35A2F">
            <wp:simplePos x="0" y="0"/>
            <wp:positionH relativeFrom="column">
              <wp:posOffset>-424787</wp:posOffset>
            </wp:positionH>
            <wp:positionV relativeFrom="paragraph">
              <wp:posOffset>-27580</wp:posOffset>
            </wp:positionV>
            <wp:extent cx="9764594" cy="7543800"/>
            <wp:effectExtent l="0" t="0" r="8255" b="0"/>
            <wp:wrapNone/>
            <wp:docPr id="1522405977" name="Picture 1" descr="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05977" name="Picture 1" descr="Map&#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9764594" cy="7543800"/>
                    </a:xfrm>
                    <a:prstGeom prst="rect">
                      <a:avLst/>
                    </a:prstGeom>
                  </pic:spPr>
                </pic:pic>
              </a:graphicData>
            </a:graphic>
          </wp:anchor>
        </w:drawing>
      </w:r>
    </w:p>
    <w:p w14:paraId="7CEEEB8A" w14:textId="088D99CF" w:rsidR="00D54D00" w:rsidRDefault="00D54D00" w:rsidP="00BA2E40">
      <w:pPr>
        <w:pBdr>
          <w:top w:val="nil"/>
          <w:left w:val="nil"/>
          <w:bottom w:val="nil"/>
          <w:right w:val="nil"/>
          <w:between w:val="nil"/>
        </w:pBdr>
        <w:spacing w:after="240" w:line="240" w:lineRule="auto"/>
        <w:jc w:val="both"/>
        <w:rPr>
          <w:noProof/>
        </w:rPr>
      </w:pPr>
    </w:p>
    <w:p w14:paraId="46D7DE23" w14:textId="2EA5E16A" w:rsidR="00D54D00" w:rsidRDefault="00D54D00" w:rsidP="00BA2E40">
      <w:pPr>
        <w:pBdr>
          <w:top w:val="nil"/>
          <w:left w:val="nil"/>
          <w:bottom w:val="nil"/>
          <w:right w:val="nil"/>
          <w:between w:val="nil"/>
        </w:pBdr>
        <w:spacing w:after="240" w:line="240" w:lineRule="auto"/>
        <w:jc w:val="both"/>
        <w:rPr>
          <w:noProof/>
        </w:rPr>
      </w:pPr>
    </w:p>
    <w:p w14:paraId="420C8F39" w14:textId="70135861" w:rsidR="00D54D00" w:rsidRDefault="00D54D00" w:rsidP="00BA2E40">
      <w:pPr>
        <w:pBdr>
          <w:top w:val="nil"/>
          <w:left w:val="nil"/>
          <w:bottom w:val="nil"/>
          <w:right w:val="nil"/>
          <w:between w:val="nil"/>
        </w:pBdr>
        <w:spacing w:after="240" w:line="240" w:lineRule="auto"/>
        <w:jc w:val="both"/>
        <w:rPr>
          <w:noProof/>
        </w:rPr>
      </w:pPr>
    </w:p>
    <w:p w14:paraId="6F45BD84" w14:textId="4541A6DA" w:rsidR="00D54D00" w:rsidRDefault="00D54D00" w:rsidP="00BA2E40">
      <w:pPr>
        <w:pBdr>
          <w:top w:val="nil"/>
          <w:left w:val="nil"/>
          <w:bottom w:val="nil"/>
          <w:right w:val="nil"/>
          <w:between w:val="nil"/>
        </w:pBdr>
        <w:spacing w:after="240" w:line="240" w:lineRule="auto"/>
        <w:jc w:val="both"/>
        <w:rPr>
          <w:noProof/>
        </w:rPr>
      </w:pPr>
    </w:p>
    <w:p w14:paraId="2CA60EF1" w14:textId="493B3D39" w:rsidR="00D54D00" w:rsidRDefault="00D54D00" w:rsidP="00BA2E40">
      <w:pPr>
        <w:pBdr>
          <w:top w:val="nil"/>
          <w:left w:val="nil"/>
          <w:bottom w:val="nil"/>
          <w:right w:val="nil"/>
          <w:between w:val="nil"/>
        </w:pBdr>
        <w:spacing w:after="240" w:line="240" w:lineRule="auto"/>
        <w:jc w:val="both"/>
        <w:rPr>
          <w:noProof/>
        </w:rPr>
      </w:pPr>
    </w:p>
    <w:p w14:paraId="6C80190F" w14:textId="6DE6FB4F" w:rsidR="00D54D00" w:rsidRDefault="00D54D00" w:rsidP="00BA2E40">
      <w:pPr>
        <w:pBdr>
          <w:top w:val="nil"/>
          <w:left w:val="nil"/>
          <w:bottom w:val="nil"/>
          <w:right w:val="nil"/>
          <w:between w:val="nil"/>
        </w:pBdr>
        <w:spacing w:after="240" w:line="240" w:lineRule="auto"/>
        <w:jc w:val="both"/>
        <w:rPr>
          <w:rFonts w:eastAsia="Calibri" w:cs="Times New Roman"/>
        </w:rPr>
      </w:pPr>
    </w:p>
    <w:p w14:paraId="50B548A6" w14:textId="77777777" w:rsidR="00D54D00" w:rsidRDefault="00D54D00" w:rsidP="00BA2E40">
      <w:pPr>
        <w:pBdr>
          <w:top w:val="nil"/>
          <w:left w:val="nil"/>
          <w:bottom w:val="nil"/>
          <w:right w:val="nil"/>
          <w:between w:val="nil"/>
        </w:pBdr>
        <w:spacing w:after="240" w:line="240" w:lineRule="auto"/>
        <w:jc w:val="both"/>
        <w:rPr>
          <w:rFonts w:eastAsia="Calibri" w:cs="Times New Roman"/>
        </w:rPr>
      </w:pPr>
    </w:p>
    <w:p w14:paraId="70975B67" w14:textId="77777777" w:rsidR="00D54D00" w:rsidRDefault="00D54D00" w:rsidP="00BA2E40">
      <w:pPr>
        <w:pBdr>
          <w:top w:val="nil"/>
          <w:left w:val="nil"/>
          <w:bottom w:val="nil"/>
          <w:right w:val="nil"/>
          <w:between w:val="nil"/>
        </w:pBdr>
        <w:spacing w:after="240" w:line="240" w:lineRule="auto"/>
        <w:jc w:val="both"/>
        <w:rPr>
          <w:rFonts w:eastAsia="Calibri" w:cs="Times New Roman"/>
        </w:rPr>
      </w:pPr>
    </w:p>
    <w:p w14:paraId="37D001E3" w14:textId="77777777" w:rsidR="00D54D00" w:rsidRDefault="00D54D00" w:rsidP="00BA2E40">
      <w:pPr>
        <w:pBdr>
          <w:top w:val="nil"/>
          <w:left w:val="nil"/>
          <w:bottom w:val="nil"/>
          <w:right w:val="nil"/>
          <w:between w:val="nil"/>
        </w:pBdr>
        <w:spacing w:after="240" w:line="240" w:lineRule="auto"/>
        <w:jc w:val="both"/>
        <w:rPr>
          <w:rFonts w:eastAsia="Calibri" w:cs="Times New Roman"/>
        </w:rPr>
      </w:pPr>
    </w:p>
    <w:p w14:paraId="0E161F92" w14:textId="77777777" w:rsidR="00D54D00" w:rsidRDefault="00D54D00" w:rsidP="00BA2E40">
      <w:pPr>
        <w:pBdr>
          <w:top w:val="nil"/>
          <w:left w:val="nil"/>
          <w:bottom w:val="nil"/>
          <w:right w:val="nil"/>
          <w:between w:val="nil"/>
        </w:pBdr>
        <w:spacing w:after="240" w:line="240" w:lineRule="auto"/>
        <w:jc w:val="both"/>
        <w:rPr>
          <w:rFonts w:eastAsia="Calibri" w:cs="Times New Roman"/>
        </w:rPr>
      </w:pPr>
    </w:p>
    <w:p w14:paraId="1BF58B21" w14:textId="77777777" w:rsidR="00D54D00" w:rsidRDefault="00D54D00" w:rsidP="00BA2E40">
      <w:pPr>
        <w:pBdr>
          <w:top w:val="nil"/>
          <w:left w:val="nil"/>
          <w:bottom w:val="nil"/>
          <w:right w:val="nil"/>
          <w:between w:val="nil"/>
        </w:pBdr>
        <w:spacing w:after="240" w:line="240" w:lineRule="auto"/>
        <w:jc w:val="both"/>
        <w:rPr>
          <w:rFonts w:eastAsia="Calibri" w:cs="Times New Roman"/>
        </w:rPr>
      </w:pPr>
    </w:p>
    <w:p w14:paraId="035724E7" w14:textId="77777777" w:rsidR="00D54D00" w:rsidRDefault="00D54D00" w:rsidP="00BA2E40">
      <w:pPr>
        <w:pBdr>
          <w:top w:val="nil"/>
          <w:left w:val="nil"/>
          <w:bottom w:val="nil"/>
          <w:right w:val="nil"/>
          <w:between w:val="nil"/>
        </w:pBdr>
        <w:spacing w:after="240" w:line="240" w:lineRule="auto"/>
        <w:jc w:val="both"/>
        <w:rPr>
          <w:rFonts w:eastAsia="Calibri" w:cs="Times New Roman"/>
        </w:rPr>
      </w:pPr>
    </w:p>
    <w:p w14:paraId="5470ECEB" w14:textId="77777777" w:rsidR="00D54D00" w:rsidRDefault="00D54D00" w:rsidP="00BA2E40">
      <w:pPr>
        <w:pBdr>
          <w:top w:val="nil"/>
          <w:left w:val="nil"/>
          <w:bottom w:val="nil"/>
          <w:right w:val="nil"/>
          <w:between w:val="nil"/>
        </w:pBdr>
        <w:spacing w:after="240" w:line="240" w:lineRule="auto"/>
        <w:jc w:val="both"/>
        <w:rPr>
          <w:rFonts w:eastAsia="Calibri" w:cs="Times New Roman"/>
        </w:rPr>
      </w:pPr>
    </w:p>
    <w:p w14:paraId="60E754E5" w14:textId="77777777" w:rsidR="00D54D00" w:rsidRDefault="00D54D00" w:rsidP="00BA2E40">
      <w:pPr>
        <w:pBdr>
          <w:top w:val="nil"/>
          <w:left w:val="nil"/>
          <w:bottom w:val="nil"/>
          <w:right w:val="nil"/>
          <w:between w:val="nil"/>
        </w:pBdr>
        <w:spacing w:after="240" w:line="240" w:lineRule="auto"/>
        <w:jc w:val="both"/>
        <w:rPr>
          <w:rFonts w:eastAsia="Calibri" w:cs="Times New Roman"/>
        </w:rPr>
      </w:pPr>
    </w:p>
    <w:p w14:paraId="07D864D4" w14:textId="77777777" w:rsidR="00D54D00" w:rsidRDefault="00D54D00" w:rsidP="00BA2E40">
      <w:pPr>
        <w:pBdr>
          <w:top w:val="nil"/>
          <w:left w:val="nil"/>
          <w:bottom w:val="nil"/>
          <w:right w:val="nil"/>
          <w:between w:val="nil"/>
        </w:pBdr>
        <w:spacing w:after="240" w:line="240" w:lineRule="auto"/>
        <w:jc w:val="both"/>
        <w:rPr>
          <w:rFonts w:eastAsia="Calibri" w:cs="Times New Roman"/>
        </w:rPr>
      </w:pPr>
    </w:p>
    <w:p w14:paraId="1D305429" w14:textId="77777777" w:rsidR="00D54D00" w:rsidRDefault="00D54D00" w:rsidP="00BA2E40">
      <w:pPr>
        <w:pBdr>
          <w:top w:val="nil"/>
          <w:left w:val="nil"/>
          <w:bottom w:val="nil"/>
          <w:right w:val="nil"/>
          <w:between w:val="nil"/>
        </w:pBdr>
        <w:spacing w:after="240" w:line="240" w:lineRule="auto"/>
        <w:jc w:val="both"/>
        <w:rPr>
          <w:rFonts w:eastAsia="Calibri" w:cs="Times New Roman"/>
        </w:rPr>
      </w:pPr>
    </w:p>
    <w:p w14:paraId="03D3C4D9" w14:textId="77777777" w:rsidR="00D54D00" w:rsidRDefault="00D54D00" w:rsidP="00BA2E40">
      <w:pPr>
        <w:pBdr>
          <w:top w:val="nil"/>
          <w:left w:val="nil"/>
          <w:bottom w:val="nil"/>
          <w:right w:val="nil"/>
          <w:between w:val="nil"/>
        </w:pBdr>
        <w:spacing w:after="240" w:line="240" w:lineRule="auto"/>
        <w:jc w:val="both"/>
        <w:rPr>
          <w:rFonts w:eastAsia="Calibri" w:cs="Times New Roman"/>
        </w:rPr>
      </w:pPr>
    </w:p>
    <w:p w14:paraId="4752F2E9" w14:textId="77777777" w:rsidR="00D54D00" w:rsidRDefault="00D54D00" w:rsidP="00BA2E40">
      <w:pPr>
        <w:pBdr>
          <w:top w:val="nil"/>
          <w:left w:val="nil"/>
          <w:bottom w:val="nil"/>
          <w:right w:val="nil"/>
          <w:between w:val="nil"/>
        </w:pBdr>
        <w:spacing w:after="240" w:line="240" w:lineRule="auto"/>
        <w:jc w:val="both"/>
        <w:rPr>
          <w:rFonts w:eastAsia="Calibri" w:cs="Times New Roman"/>
        </w:rPr>
      </w:pPr>
    </w:p>
    <w:p w14:paraId="602A3C63" w14:textId="77777777" w:rsidR="00D54D00" w:rsidRDefault="00D54D00" w:rsidP="00BA2E40">
      <w:pPr>
        <w:pBdr>
          <w:top w:val="nil"/>
          <w:left w:val="nil"/>
          <w:bottom w:val="nil"/>
          <w:right w:val="nil"/>
          <w:between w:val="nil"/>
        </w:pBdr>
        <w:spacing w:after="240" w:line="240" w:lineRule="auto"/>
        <w:jc w:val="both"/>
        <w:rPr>
          <w:rFonts w:eastAsia="Calibri" w:cs="Times New Roman"/>
        </w:rPr>
      </w:pPr>
    </w:p>
    <w:p w14:paraId="046CD6B8" w14:textId="77777777" w:rsidR="00D54D00" w:rsidRDefault="00D54D00" w:rsidP="00BA2E40">
      <w:pPr>
        <w:pBdr>
          <w:top w:val="nil"/>
          <w:left w:val="nil"/>
          <w:bottom w:val="nil"/>
          <w:right w:val="nil"/>
          <w:between w:val="nil"/>
        </w:pBdr>
        <w:spacing w:after="240" w:line="240" w:lineRule="auto"/>
        <w:jc w:val="both"/>
        <w:rPr>
          <w:rFonts w:eastAsia="Calibri" w:cs="Times New Roman"/>
        </w:rPr>
      </w:pPr>
    </w:p>
    <w:p w14:paraId="6EBEE469" w14:textId="77777777" w:rsidR="00D54D00" w:rsidRDefault="00D54D00" w:rsidP="00BA2E40">
      <w:pPr>
        <w:pBdr>
          <w:top w:val="nil"/>
          <w:left w:val="nil"/>
          <w:bottom w:val="nil"/>
          <w:right w:val="nil"/>
          <w:between w:val="nil"/>
        </w:pBdr>
        <w:spacing w:after="240" w:line="240" w:lineRule="auto"/>
        <w:jc w:val="both"/>
        <w:rPr>
          <w:rFonts w:eastAsia="Calibri" w:cs="Times New Roman"/>
        </w:rPr>
      </w:pPr>
    </w:p>
    <w:p w14:paraId="3326A06E" w14:textId="77777777" w:rsidR="00D54D00" w:rsidRDefault="00D54D00" w:rsidP="00BA2E40">
      <w:pPr>
        <w:pBdr>
          <w:top w:val="nil"/>
          <w:left w:val="nil"/>
          <w:bottom w:val="nil"/>
          <w:right w:val="nil"/>
          <w:between w:val="nil"/>
        </w:pBdr>
        <w:spacing w:after="240" w:line="240" w:lineRule="auto"/>
        <w:jc w:val="both"/>
        <w:rPr>
          <w:rFonts w:eastAsia="Calibri" w:cs="Times New Roman"/>
        </w:rPr>
      </w:pPr>
    </w:p>
    <w:p w14:paraId="5B163FF7" w14:textId="77777777" w:rsidR="00D54D00" w:rsidRDefault="00D54D00" w:rsidP="00BA2E40">
      <w:pPr>
        <w:pBdr>
          <w:top w:val="nil"/>
          <w:left w:val="nil"/>
          <w:bottom w:val="nil"/>
          <w:right w:val="nil"/>
          <w:between w:val="nil"/>
        </w:pBdr>
        <w:spacing w:after="240" w:line="240" w:lineRule="auto"/>
        <w:jc w:val="both"/>
        <w:rPr>
          <w:rFonts w:eastAsia="Calibri" w:cs="Times New Roman"/>
        </w:rPr>
      </w:pPr>
    </w:p>
    <w:p w14:paraId="56AC1FD4" w14:textId="54AC0D0E" w:rsidR="00D54D00" w:rsidRPr="00BA2E40" w:rsidRDefault="00D54D00" w:rsidP="00BA2E40">
      <w:pPr>
        <w:pBdr>
          <w:top w:val="nil"/>
          <w:left w:val="nil"/>
          <w:bottom w:val="nil"/>
          <w:right w:val="nil"/>
          <w:between w:val="nil"/>
        </w:pBdr>
        <w:spacing w:after="240" w:line="240" w:lineRule="auto"/>
        <w:jc w:val="both"/>
        <w:rPr>
          <w:rFonts w:eastAsia="Calibri" w:cs="Times New Roman"/>
        </w:rPr>
      </w:pPr>
      <w:r w:rsidRPr="00111231">
        <w:rPr>
          <w:noProof/>
        </w:rPr>
        <w:lastRenderedPageBreak/>
        <w:drawing>
          <wp:inline distT="0" distB="0" distL="0" distR="0" wp14:anchorId="677DA627" wp14:editId="67E7ABFC">
            <wp:extent cx="9815145" cy="7591425"/>
            <wp:effectExtent l="0" t="0" r="0" b="0"/>
            <wp:docPr id="1078163867" name="Picture 1" descr="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163867" name="Picture 1" descr="Map&#10;&#10;AI-generated content may be incorrect."/>
                    <pic:cNvPicPr/>
                  </pic:nvPicPr>
                  <pic:blipFill>
                    <a:blip r:embed="rId13"/>
                    <a:stretch>
                      <a:fillRect/>
                    </a:stretch>
                  </pic:blipFill>
                  <pic:spPr>
                    <a:xfrm>
                      <a:off x="0" y="0"/>
                      <a:ext cx="9826565" cy="7600257"/>
                    </a:xfrm>
                    <a:prstGeom prst="rect">
                      <a:avLst/>
                    </a:prstGeom>
                  </pic:spPr>
                </pic:pic>
              </a:graphicData>
            </a:graphic>
          </wp:inline>
        </w:drawing>
      </w:r>
    </w:p>
    <w:sectPr w:rsidR="00D54D00" w:rsidRPr="00BA2E40">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B0BB37" w14:textId="77777777" w:rsidR="000532CD" w:rsidRDefault="000532CD" w:rsidP="00F62B70">
      <w:pPr>
        <w:spacing w:after="0" w:line="240" w:lineRule="auto"/>
      </w:pPr>
      <w:r>
        <w:separator/>
      </w:r>
    </w:p>
  </w:endnote>
  <w:endnote w:type="continuationSeparator" w:id="0">
    <w:p w14:paraId="1379CCDC" w14:textId="77777777" w:rsidR="000532CD" w:rsidRDefault="000532CD" w:rsidP="00F62B70">
      <w:pPr>
        <w:spacing w:after="0" w:line="240" w:lineRule="auto"/>
      </w:pPr>
      <w:r>
        <w:continuationSeparator/>
      </w:r>
    </w:p>
  </w:endnote>
  <w:endnote w:type="continuationNotice" w:id="1">
    <w:p w14:paraId="2BE24AC6" w14:textId="77777777" w:rsidR="000532CD" w:rsidRDefault="000532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C7E931" w14:textId="77777777" w:rsidR="000532CD" w:rsidRDefault="000532CD" w:rsidP="00F62B70">
      <w:pPr>
        <w:spacing w:after="0" w:line="240" w:lineRule="auto"/>
      </w:pPr>
      <w:r>
        <w:separator/>
      </w:r>
    </w:p>
  </w:footnote>
  <w:footnote w:type="continuationSeparator" w:id="0">
    <w:p w14:paraId="3C2115BE" w14:textId="77777777" w:rsidR="000532CD" w:rsidRDefault="000532CD" w:rsidP="00F62B70">
      <w:pPr>
        <w:spacing w:after="0" w:line="240" w:lineRule="auto"/>
      </w:pPr>
      <w:r>
        <w:continuationSeparator/>
      </w:r>
    </w:p>
  </w:footnote>
  <w:footnote w:type="continuationNotice" w:id="1">
    <w:p w14:paraId="6AD9BFCE" w14:textId="77777777" w:rsidR="000532CD" w:rsidRDefault="000532CD">
      <w:pPr>
        <w:spacing w:after="0" w:line="240" w:lineRule="auto"/>
      </w:pPr>
    </w:p>
  </w:footnote>
  <w:footnote w:id="2">
    <w:p w14:paraId="7931FA9B" w14:textId="057B2FE4" w:rsidR="00941C49" w:rsidRDefault="00941C49">
      <w:pPr>
        <w:pStyle w:val="FootnoteText"/>
      </w:pPr>
      <w:r>
        <w:rPr>
          <w:rStyle w:val="FootnoteReference"/>
        </w:rPr>
        <w:footnoteRef/>
      </w:r>
      <w:r>
        <w:t xml:space="preserve"> For the purposes of the Fund, </w:t>
      </w:r>
      <w:r w:rsidRPr="00941C49">
        <w:t>§10.1-603.28</w:t>
      </w:r>
      <w:r>
        <w:t xml:space="preserve"> defines </w:t>
      </w:r>
      <w:r w:rsidRPr="00941C49">
        <w:t xml:space="preserve">"Local government" </w:t>
      </w:r>
      <w:r>
        <w:t>as</w:t>
      </w:r>
      <w:r w:rsidRPr="00941C49">
        <w:t xml:space="preserve"> </w:t>
      </w:r>
      <w:r>
        <w:t>“</w:t>
      </w:r>
      <w:r w:rsidRPr="00941C49">
        <w:t>any county, city, town, municipal corporation, authority, district, commission, or political subdivision created by the General Assembly or pursuant to the Constitution or laws of the Commonwealth or any combination of any two or more of the foregoing.</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68E84" w14:textId="22455E37" w:rsidR="00F62B70" w:rsidRDefault="000E22B8">
    <w:pPr>
      <w:pStyle w:val="Header"/>
    </w:pPr>
    <w:r>
      <w:t xml:space="preserve">DRAFT </w:t>
    </w:r>
    <w:r w:rsidR="00DE0EE6">
      <w:t>FOR PUBLIC COMMENT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D5943"/>
    <w:multiLevelType w:val="hybridMultilevel"/>
    <w:tmpl w:val="ED904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CA1AFB"/>
    <w:multiLevelType w:val="hybridMultilevel"/>
    <w:tmpl w:val="96305A02"/>
    <w:lvl w:ilvl="0" w:tplc="271A5D8E">
      <w:start w:val="2"/>
      <w:numFmt w:val="bullet"/>
      <w:lvlText w:val="-"/>
      <w:lvlJc w:val="left"/>
      <w:pPr>
        <w:ind w:left="720" w:hanging="360"/>
      </w:pPr>
      <w:rPr>
        <w:rFonts w:ascii="Aptos Display" w:eastAsia="Calibri" w:hAnsi="Aptos Display"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0D2AC7"/>
    <w:multiLevelType w:val="hybridMultilevel"/>
    <w:tmpl w:val="096A73EA"/>
    <w:lvl w:ilvl="0" w:tplc="2E606858">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3E2BA0"/>
    <w:multiLevelType w:val="hybridMultilevel"/>
    <w:tmpl w:val="B45A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921B5F"/>
    <w:multiLevelType w:val="hybridMultilevel"/>
    <w:tmpl w:val="9A9262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1E741B"/>
    <w:multiLevelType w:val="hybridMultilevel"/>
    <w:tmpl w:val="D67E5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7467684">
    <w:abstractNumId w:val="1"/>
  </w:num>
  <w:num w:numId="2" w16cid:durableId="1685403538">
    <w:abstractNumId w:val="2"/>
  </w:num>
  <w:num w:numId="3" w16cid:durableId="1066490617">
    <w:abstractNumId w:val="4"/>
  </w:num>
  <w:num w:numId="4" w16cid:durableId="15930030">
    <w:abstractNumId w:val="3"/>
  </w:num>
  <w:num w:numId="5" w16cid:durableId="949970012">
    <w:abstractNumId w:val="0"/>
  </w:num>
  <w:num w:numId="6" w16cid:durableId="9962987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D0B"/>
    <w:rsid w:val="0002361B"/>
    <w:rsid w:val="000263DF"/>
    <w:rsid w:val="000532CD"/>
    <w:rsid w:val="00070787"/>
    <w:rsid w:val="000E22B8"/>
    <w:rsid w:val="000E710C"/>
    <w:rsid w:val="000F3181"/>
    <w:rsid w:val="000F4395"/>
    <w:rsid w:val="0012487A"/>
    <w:rsid w:val="00152C1A"/>
    <w:rsid w:val="00170B37"/>
    <w:rsid w:val="001C098F"/>
    <w:rsid w:val="001F6F9B"/>
    <w:rsid w:val="00250284"/>
    <w:rsid w:val="0031047F"/>
    <w:rsid w:val="003354AA"/>
    <w:rsid w:val="00364D23"/>
    <w:rsid w:val="00382CE0"/>
    <w:rsid w:val="003C0339"/>
    <w:rsid w:val="003C0583"/>
    <w:rsid w:val="003C13AE"/>
    <w:rsid w:val="003F1EC7"/>
    <w:rsid w:val="00437836"/>
    <w:rsid w:val="00480FFA"/>
    <w:rsid w:val="004A1C24"/>
    <w:rsid w:val="004A409C"/>
    <w:rsid w:val="004C1237"/>
    <w:rsid w:val="0058272A"/>
    <w:rsid w:val="005C2216"/>
    <w:rsid w:val="005E452B"/>
    <w:rsid w:val="00616838"/>
    <w:rsid w:val="00630CA4"/>
    <w:rsid w:val="00631F2B"/>
    <w:rsid w:val="006602FB"/>
    <w:rsid w:val="006822E9"/>
    <w:rsid w:val="006D63D9"/>
    <w:rsid w:val="007C308C"/>
    <w:rsid w:val="00803229"/>
    <w:rsid w:val="00844D16"/>
    <w:rsid w:val="0085412F"/>
    <w:rsid w:val="008D5ADF"/>
    <w:rsid w:val="00921174"/>
    <w:rsid w:val="00933D0B"/>
    <w:rsid w:val="00941C49"/>
    <w:rsid w:val="0095309C"/>
    <w:rsid w:val="009748B8"/>
    <w:rsid w:val="00991EF2"/>
    <w:rsid w:val="009A4029"/>
    <w:rsid w:val="009B532D"/>
    <w:rsid w:val="00A1481F"/>
    <w:rsid w:val="00A50FD1"/>
    <w:rsid w:val="00A520B2"/>
    <w:rsid w:val="00A55130"/>
    <w:rsid w:val="00A82025"/>
    <w:rsid w:val="00A9366C"/>
    <w:rsid w:val="00AB36FF"/>
    <w:rsid w:val="00AE1468"/>
    <w:rsid w:val="00AE66C3"/>
    <w:rsid w:val="00B11731"/>
    <w:rsid w:val="00B60397"/>
    <w:rsid w:val="00BA2E40"/>
    <w:rsid w:val="00BF347E"/>
    <w:rsid w:val="00C40CAF"/>
    <w:rsid w:val="00C4217A"/>
    <w:rsid w:val="00C90C75"/>
    <w:rsid w:val="00CD34F4"/>
    <w:rsid w:val="00CD57C5"/>
    <w:rsid w:val="00CD6F94"/>
    <w:rsid w:val="00CE1FDD"/>
    <w:rsid w:val="00CF06CC"/>
    <w:rsid w:val="00D01451"/>
    <w:rsid w:val="00D113A3"/>
    <w:rsid w:val="00D54D00"/>
    <w:rsid w:val="00D8132A"/>
    <w:rsid w:val="00DE0EE6"/>
    <w:rsid w:val="00E048F8"/>
    <w:rsid w:val="00E36ED7"/>
    <w:rsid w:val="00E6AAE5"/>
    <w:rsid w:val="00E83D30"/>
    <w:rsid w:val="00F62B70"/>
    <w:rsid w:val="00F92050"/>
    <w:rsid w:val="00FF4B74"/>
    <w:rsid w:val="05603A24"/>
    <w:rsid w:val="0A018540"/>
    <w:rsid w:val="0ACFCEE5"/>
    <w:rsid w:val="0C96F077"/>
    <w:rsid w:val="0F163240"/>
    <w:rsid w:val="0FD91C76"/>
    <w:rsid w:val="0FE889BD"/>
    <w:rsid w:val="0FF583D9"/>
    <w:rsid w:val="13E1277A"/>
    <w:rsid w:val="1450CEC7"/>
    <w:rsid w:val="1662DA68"/>
    <w:rsid w:val="167EFC7C"/>
    <w:rsid w:val="17184992"/>
    <w:rsid w:val="1775ED87"/>
    <w:rsid w:val="1A048120"/>
    <w:rsid w:val="1A138F2E"/>
    <w:rsid w:val="1BA7968E"/>
    <w:rsid w:val="1DE522CF"/>
    <w:rsid w:val="1EBB9D99"/>
    <w:rsid w:val="20140C8B"/>
    <w:rsid w:val="236D1037"/>
    <w:rsid w:val="2538E2F1"/>
    <w:rsid w:val="258041AD"/>
    <w:rsid w:val="27A7C2AF"/>
    <w:rsid w:val="28A79FEF"/>
    <w:rsid w:val="297D0AEE"/>
    <w:rsid w:val="2D392DF1"/>
    <w:rsid w:val="2E588C1A"/>
    <w:rsid w:val="3164BA92"/>
    <w:rsid w:val="32B616DD"/>
    <w:rsid w:val="330A6A4A"/>
    <w:rsid w:val="34E6A743"/>
    <w:rsid w:val="3551D4A2"/>
    <w:rsid w:val="358EECCC"/>
    <w:rsid w:val="35DA0A5C"/>
    <w:rsid w:val="35F28F50"/>
    <w:rsid w:val="36C88B31"/>
    <w:rsid w:val="36E0772A"/>
    <w:rsid w:val="36F50314"/>
    <w:rsid w:val="3791B322"/>
    <w:rsid w:val="387840D1"/>
    <w:rsid w:val="39C13DB1"/>
    <w:rsid w:val="3A0315C7"/>
    <w:rsid w:val="3B025261"/>
    <w:rsid w:val="3D57460E"/>
    <w:rsid w:val="3FEDF186"/>
    <w:rsid w:val="405AD289"/>
    <w:rsid w:val="40CC8EC4"/>
    <w:rsid w:val="41388BCC"/>
    <w:rsid w:val="418AB41B"/>
    <w:rsid w:val="41B2BE8D"/>
    <w:rsid w:val="4240404B"/>
    <w:rsid w:val="43A5D344"/>
    <w:rsid w:val="445C8598"/>
    <w:rsid w:val="44910007"/>
    <w:rsid w:val="44B1530F"/>
    <w:rsid w:val="45477291"/>
    <w:rsid w:val="4637C875"/>
    <w:rsid w:val="4A37C812"/>
    <w:rsid w:val="4B7F9640"/>
    <w:rsid w:val="4DB3EDAD"/>
    <w:rsid w:val="4F8E53E6"/>
    <w:rsid w:val="5319C5C1"/>
    <w:rsid w:val="5479EEB8"/>
    <w:rsid w:val="576922B5"/>
    <w:rsid w:val="5A5114A6"/>
    <w:rsid w:val="5AA6F6A2"/>
    <w:rsid w:val="5D3DFCAE"/>
    <w:rsid w:val="5DA46B86"/>
    <w:rsid w:val="5E4A7C41"/>
    <w:rsid w:val="5E6E47CC"/>
    <w:rsid w:val="5E89DCF0"/>
    <w:rsid w:val="6272C981"/>
    <w:rsid w:val="62FDD8E2"/>
    <w:rsid w:val="63CAB0A9"/>
    <w:rsid w:val="64A62A43"/>
    <w:rsid w:val="66F38C74"/>
    <w:rsid w:val="66FEADAB"/>
    <w:rsid w:val="67736EB8"/>
    <w:rsid w:val="698E9925"/>
    <w:rsid w:val="6E588D49"/>
    <w:rsid w:val="71EAA8CD"/>
    <w:rsid w:val="71ECAFAC"/>
    <w:rsid w:val="72194DA7"/>
    <w:rsid w:val="7378A436"/>
    <w:rsid w:val="737BACD3"/>
    <w:rsid w:val="75BD3F6B"/>
    <w:rsid w:val="7651D464"/>
    <w:rsid w:val="772F72E8"/>
    <w:rsid w:val="773486C7"/>
    <w:rsid w:val="773FB0B2"/>
    <w:rsid w:val="78B98F83"/>
    <w:rsid w:val="78CB68F2"/>
    <w:rsid w:val="7AD05C0D"/>
    <w:rsid w:val="7EC26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E9BB3"/>
  <w15:chartTrackingRefBased/>
  <w15:docId w15:val="{B2473855-9223-4FC4-A99B-38CCE2FCC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D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3D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3D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3D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3D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3D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D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D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D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D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3D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3D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3D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3D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3D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D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D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D0B"/>
    <w:rPr>
      <w:rFonts w:eastAsiaTheme="majorEastAsia" w:cstheme="majorBidi"/>
      <w:color w:val="272727" w:themeColor="text1" w:themeTint="D8"/>
    </w:rPr>
  </w:style>
  <w:style w:type="paragraph" w:styleId="Title">
    <w:name w:val="Title"/>
    <w:basedOn w:val="Normal"/>
    <w:next w:val="Normal"/>
    <w:link w:val="TitleChar"/>
    <w:uiPriority w:val="10"/>
    <w:qFormat/>
    <w:rsid w:val="00933D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D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D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D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D0B"/>
    <w:pPr>
      <w:spacing w:before="160"/>
      <w:jc w:val="center"/>
    </w:pPr>
    <w:rPr>
      <w:i/>
      <w:iCs/>
      <w:color w:val="404040" w:themeColor="text1" w:themeTint="BF"/>
    </w:rPr>
  </w:style>
  <w:style w:type="character" w:customStyle="1" w:styleId="QuoteChar">
    <w:name w:val="Quote Char"/>
    <w:basedOn w:val="DefaultParagraphFont"/>
    <w:link w:val="Quote"/>
    <w:uiPriority w:val="29"/>
    <w:rsid w:val="00933D0B"/>
    <w:rPr>
      <w:i/>
      <w:iCs/>
      <w:color w:val="404040" w:themeColor="text1" w:themeTint="BF"/>
    </w:rPr>
  </w:style>
  <w:style w:type="paragraph" w:styleId="ListParagraph">
    <w:name w:val="List Paragraph"/>
    <w:basedOn w:val="Normal"/>
    <w:uiPriority w:val="34"/>
    <w:qFormat/>
    <w:rsid w:val="00933D0B"/>
    <w:pPr>
      <w:ind w:left="720"/>
      <w:contextualSpacing/>
    </w:pPr>
  </w:style>
  <w:style w:type="character" w:styleId="IntenseEmphasis">
    <w:name w:val="Intense Emphasis"/>
    <w:basedOn w:val="DefaultParagraphFont"/>
    <w:uiPriority w:val="21"/>
    <w:qFormat/>
    <w:rsid w:val="00933D0B"/>
    <w:rPr>
      <w:i/>
      <w:iCs/>
      <w:color w:val="0F4761" w:themeColor="accent1" w:themeShade="BF"/>
    </w:rPr>
  </w:style>
  <w:style w:type="paragraph" w:styleId="IntenseQuote">
    <w:name w:val="Intense Quote"/>
    <w:basedOn w:val="Normal"/>
    <w:next w:val="Normal"/>
    <w:link w:val="IntenseQuoteChar"/>
    <w:uiPriority w:val="30"/>
    <w:qFormat/>
    <w:rsid w:val="00933D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3D0B"/>
    <w:rPr>
      <w:i/>
      <w:iCs/>
      <w:color w:val="0F4761" w:themeColor="accent1" w:themeShade="BF"/>
    </w:rPr>
  </w:style>
  <w:style w:type="character" w:styleId="IntenseReference">
    <w:name w:val="Intense Reference"/>
    <w:basedOn w:val="DefaultParagraphFont"/>
    <w:uiPriority w:val="32"/>
    <w:qFormat/>
    <w:rsid w:val="00933D0B"/>
    <w:rPr>
      <w:b/>
      <w:bCs/>
      <w:smallCaps/>
      <w:color w:val="0F4761" w:themeColor="accent1" w:themeShade="BF"/>
      <w:spacing w:val="5"/>
    </w:rPr>
  </w:style>
  <w:style w:type="paragraph" w:styleId="NormalWeb">
    <w:name w:val="Normal (Web)"/>
    <w:basedOn w:val="Normal"/>
    <w:uiPriority w:val="99"/>
    <w:semiHidden/>
    <w:unhideWhenUsed/>
    <w:rsid w:val="004A409C"/>
    <w:pPr>
      <w:spacing w:before="100" w:beforeAutospacing="1" w:after="100" w:afterAutospacing="1" w:line="240" w:lineRule="auto"/>
    </w:pPr>
    <w:rPr>
      <w:rFonts w:ascii="Times New Roman" w:eastAsiaTheme="minorEastAsia" w:hAnsi="Times New Roman" w:cs="Times New Roman"/>
      <w:kern w:val="0"/>
      <w14:ligatures w14:val="none"/>
    </w:rPr>
  </w:style>
  <w:style w:type="character" w:styleId="Hyperlink">
    <w:name w:val="Hyperlink"/>
    <w:basedOn w:val="DefaultParagraphFont"/>
    <w:uiPriority w:val="99"/>
    <w:unhideWhenUsed/>
    <w:rsid w:val="00C40CAF"/>
    <w:rPr>
      <w:color w:val="467886" w:themeColor="hyperlink"/>
      <w:u w:val="single"/>
    </w:rPr>
  </w:style>
  <w:style w:type="character" w:styleId="UnresolvedMention">
    <w:name w:val="Unresolved Mention"/>
    <w:basedOn w:val="DefaultParagraphFont"/>
    <w:uiPriority w:val="99"/>
    <w:semiHidden/>
    <w:unhideWhenUsed/>
    <w:rsid w:val="00C40CAF"/>
    <w:rPr>
      <w:color w:val="605E5C"/>
      <w:shd w:val="clear" w:color="auto" w:fill="E1DFDD"/>
    </w:rPr>
  </w:style>
  <w:style w:type="paragraph" w:styleId="Header">
    <w:name w:val="header"/>
    <w:basedOn w:val="Normal"/>
    <w:link w:val="HeaderChar"/>
    <w:uiPriority w:val="99"/>
    <w:unhideWhenUsed/>
    <w:rsid w:val="00F62B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B70"/>
  </w:style>
  <w:style w:type="paragraph" w:styleId="Footer">
    <w:name w:val="footer"/>
    <w:basedOn w:val="Normal"/>
    <w:link w:val="FooterChar"/>
    <w:uiPriority w:val="99"/>
    <w:unhideWhenUsed/>
    <w:rsid w:val="00F62B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B70"/>
  </w:style>
  <w:style w:type="paragraph" w:styleId="Revision">
    <w:name w:val="Revision"/>
    <w:hidden/>
    <w:uiPriority w:val="99"/>
    <w:semiHidden/>
    <w:rsid w:val="00B60397"/>
    <w:pPr>
      <w:spacing w:after="0" w:line="240" w:lineRule="auto"/>
    </w:pPr>
  </w:style>
  <w:style w:type="character" w:styleId="CommentReference">
    <w:name w:val="annotation reference"/>
    <w:basedOn w:val="DefaultParagraphFont"/>
    <w:uiPriority w:val="99"/>
    <w:semiHidden/>
    <w:unhideWhenUsed/>
    <w:rsid w:val="00B60397"/>
    <w:rPr>
      <w:sz w:val="16"/>
      <w:szCs w:val="16"/>
    </w:rPr>
  </w:style>
  <w:style w:type="paragraph" w:styleId="CommentText">
    <w:name w:val="annotation text"/>
    <w:basedOn w:val="Normal"/>
    <w:link w:val="CommentTextChar"/>
    <w:uiPriority w:val="99"/>
    <w:unhideWhenUsed/>
    <w:rsid w:val="00B60397"/>
    <w:pPr>
      <w:spacing w:line="240" w:lineRule="auto"/>
    </w:pPr>
    <w:rPr>
      <w:sz w:val="20"/>
      <w:szCs w:val="20"/>
    </w:rPr>
  </w:style>
  <w:style w:type="character" w:customStyle="1" w:styleId="CommentTextChar">
    <w:name w:val="Comment Text Char"/>
    <w:basedOn w:val="DefaultParagraphFont"/>
    <w:link w:val="CommentText"/>
    <w:uiPriority w:val="99"/>
    <w:rsid w:val="00B60397"/>
    <w:rPr>
      <w:sz w:val="20"/>
      <w:szCs w:val="20"/>
    </w:rPr>
  </w:style>
  <w:style w:type="paragraph" w:styleId="CommentSubject">
    <w:name w:val="annotation subject"/>
    <w:basedOn w:val="CommentText"/>
    <w:next w:val="CommentText"/>
    <w:link w:val="CommentSubjectChar"/>
    <w:uiPriority w:val="99"/>
    <w:semiHidden/>
    <w:unhideWhenUsed/>
    <w:rsid w:val="00B60397"/>
    <w:rPr>
      <w:b/>
      <w:bCs/>
    </w:rPr>
  </w:style>
  <w:style w:type="character" w:customStyle="1" w:styleId="CommentSubjectChar">
    <w:name w:val="Comment Subject Char"/>
    <w:basedOn w:val="CommentTextChar"/>
    <w:link w:val="CommentSubject"/>
    <w:uiPriority w:val="99"/>
    <w:semiHidden/>
    <w:rsid w:val="00B60397"/>
    <w:rPr>
      <w:b/>
      <w:bCs/>
      <w:sz w:val="20"/>
      <w:szCs w:val="20"/>
    </w:rPr>
  </w:style>
  <w:style w:type="paragraph" w:styleId="FootnoteText">
    <w:name w:val="footnote text"/>
    <w:basedOn w:val="Normal"/>
    <w:link w:val="FootnoteTextChar"/>
    <w:uiPriority w:val="99"/>
    <w:semiHidden/>
    <w:unhideWhenUsed/>
    <w:rsid w:val="00941C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1C49"/>
    <w:rPr>
      <w:sz w:val="20"/>
      <w:szCs w:val="20"/>
    </w:rPr>
  </w:style>
  <w:style w:type="character" w:styleId="FootnoteReference">
    <w:name w:val="footnote reference"/>
    <w:basedOn w:val="DefaultParagraphFont"/>
    <w:uiPriority w:val="99"/>
    <w:semiHidden/>
    <w:unhideWhenUsed/>
    <w:rsid w:val="00941C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69317">
      <w:bodyDiv w:val="1"/>
      <w:marLeft w:val="0"/>
      <w:marRight w:val="0"/>
      <w:marTop w:val="0"/>
      <w:marBottom w:val="0"/>
      <w:divBdr>
        <w:top w:val="none" w:sz="0" w:space="0" w:color="auto"/>
        <w:left w:val="none" w:sz="0" w:space="0" w:color="auto"/>
        <w:bottom w:val="none" w:sz="0" w:space="0" w:color="auto"/>
        <w:right w:val="none" w:sz="0" w:space="0" w:color="auto"/>
      </w:divBdr>
    </w:div>
    <w:div w:id="381759536">
      <w:bodyDiv w:val="1"/>
      <w:marLeft w:val="0"/>
      <w:marRight w:val="0"/>
      <w:marTop w:val="0"/>
      <w:marBottom w:val="0"/>
      <w:divBdr>
        <w:top w:val="none" w:sz="0" w:space="0" w:color="auto"/>
        <w:left w:val="none" w:sz="0" w:space="0" w:color="auto"/>
        <w:bottom w:val="none" w:sz="0" w:space="0" w:color="auto"/>
        <w:right w:val="none" w:sz="0" w:space="0" w:color="auto"/>
      </w:divBdr>
    </w:div>
    <w:div w:id="1807506221">
      <w:bodyDiv w:val="1"/>
      <w:marLeft w:val="0"/>
      <w:marRight w:val="0"/>
      <w:marTop w:val="0"/>
      <w:marBottom w:val="0"/>
      <w:divBdr>
        <w:top w:val="none" w:sz="0" w:space="0" w:color="auto"/>
        <w:left w:val="none" w:sz="0" w:space="0" w:color="auto"/>
        <w:bottom w:val="none" w:sz="0" w:space="0" w:color="auto"/>
        <w:right w:val="none" w:sz="0" w:space="0" w:color="auto"/>
      </w:divBdr>
    </w:div>
    <w:div w:id="197690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fpf@dcr.virginia.gov"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ec81d2a-3d30-4957-9762-a7003ff5f401">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28EC66F15C9D541B66B803832B76497" ma:contentTypeVersion="12" ma:contentTypeDescription="Create a new document." ma:contentTypeScope="" ma:versionID="97c29a2271f27f606e3541cf3fe5d73b">
  <xsd:schema xmlns:xsd="http://www.w3.org/2001/XMLSchema" xmlns:xs="http://www.w3.org/2001/XMLSchema" xmlns:p="http://schemas.microsoft.com/office/2006/metadata/properties" xmlns:ns2="fec81d2a-3d30-4957-9762-a7003ff5f401" targetNamespace="http://schemas.microsoft.com/office/2006/metadata/properties" ma:root="true" ma:fieldsID="65719e8d50c15d15a27b0214d60f79d8" ns2:_="">
    <xsd:import namespace="fec81d2a-3d30-4957-9762-a7003ff5f40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c81d2a-3d30-4957-9762-a7003ff5f4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920e099-540f-4e49-b54d-0e500676ccfd"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0E18BA-1A91-4BCD-B4E3-3276245BCC15}">
  <ds:schemaRefs>
    <ds:schemaRef ds:uri="http://schemas.openxmlformats.org/officeDocument/2006/bibliography"/>
  </ds:schemaRefs>
</ds:datastoreItem>
</file>

<file path=customXml/itemProps2.xml><?xml version="1.0" encoding="utf-8"?>
<ds:datastoreItem xmlns:ds="http://schemas.openxmlformats.org/officeDocument/2006/customXml" ds:itemID="{8AFDBD0A-13B6-4172-B670-BAB7F28A1F06}">
  <ds:schemaRefs>
    <ds:schemaRef ds:uri="http://schemas.microsoft.com/office/2006/metadata/properties"/>
    <ds:schemaRef ds:uri="http://schemas.microsoft.com/office/infopath/2007/PartnerControls"/>
    <ds:schemaRef ds:uri="fec81d2a-3d30-4957-9762-a7003ff5f401"/>
  </ds:schemaRefs>
</ds:datastoreItem>
</file>

<file path=customXml/itemProps3.xml><?xml version="1.0" encoding="utf-8"?>
<ds:datastoreItem xmlns:ds="http://schemas.openxmlformats.org/officeDocument/2006/customXml" ds:itemID="{CB5DD61D-1807-49D0-88F5-F8EF8190FE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c81d2a-3d30-4957-9762-a7003ff5f4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836206-3C98-4D9C-9BEE-36DC5A6BDD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VITA</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Wells, Matthew (DCR)</dc:creator>
  <cp:keywords/>
  <dc:description/>
  <cp:lastModifiedBy>Smith, Andrew (DCR)</cp:lastModifiedBy>
  <cp:revision>2</cp:revision>
  <dcterms:created xsi:type="dcterms:W3CDTF">2025-06-06T16:46:00Z</dcterms:created>
  <dcterms:modified xsi:type="dcterms:W3CDTF">2025-06-06T16:46:00Z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0x010100C28EC66F15C9D541B66B803832B76497</vt:lpwstr>
  </property>
  <property fmtid="{D5CDD505-2E9C-101B-9397-08002B2CF9AE}" pid="3" name="MediaServiceImageTags">
    <vt:lpwstr/>
  </property>
</Properties>
</file>